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55812D21"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225510">
        <w:rPr>
          <w:rFonts w:ascii="Arial" w:hAnsi="Arial"/>
          <w:b/>
          <w:lang w:val="en-US"/>
        </w:rPr>
        <w:t>2</w:t>
      </w:r>
      <w:r w:rsidR="00D6375C" w:rsidRPr="00536C1E">
        <w:rPr>
          <w:rFonts w:ascii="Arial" w:hAnsi="Arial"/>
          <w:b/>
          <w:lang w:val="en-US"/>
        </w:rPr>
        <w:tab/>
      </w:r>
      <w:r w:rsidR="00FA0637" w:rsidRPr="00FA0637">
        <w:rPr>
          <w:rFonts w:ascii="Arial" w:hAnsi="Arial"/>
          <w:b/>
          <w:lang w:val="en-US"/>
        </w:rPr>
        <w:t>R1-1802056</w:t>
      </w:r>
    </w:p>
    <w:p w14:paraId="66354B83" w14:textId="102C472B" w:rsidR="00113916" w:rsidRPr="00F97042" w:rsidRDefault="00C27270" w:rsidP="00113916">
      <w:pPr>
        <w:rPr>
          <w:rFonts w:ascii="Arial" w:hAnsi="Arial"/>
          <w:b/>
          <w:lang w:val="en-AU"/>
        </w:rPr>
      </w:pPr>
      <w:r w:rsidRPr="00C27270">
        <w:rPr>
          <w:rFonts w:ascii="Arial" w:hAnsi="Arial"/>
          <w:b/>
          <w:lang w:val="en-AU"/>
        </w:rPr>
        <w:t>Athens, Greece, February 26th – March 2nd, 201</w:t>
      </w:r>
      <w:r>
        <w:rPr>
          <w:rFonts w:ascii="Arial" w:hAnsi="Arial"/>
          <w:b/>
          <w:lang w:val="en-AU"/>
        </w:rPr>
        <w:t>8</w:t>
      </w:r>
    </w:p>
    <w:p w14:paraId="259EC765" w14:textId="35DCB219"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4C3AB9">
        <w:rPr>
          <w:b/>
          <w:lang w:val="en-US"/>
        </w:rPr>
        <w:t>6.2.5.</w:t>
      </w:r>
      <w:r w:rsidR="00004F5F">
        <w:rPr>
          <w:b/>
          <w:lang w:val="en-US"/>
        </w:rPr>
        <w:t>3</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491C2610"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004F5F" w:rsidRPr="00004F5F">
        <w:rPr>
          <w:b/>
          <w:color w:val="000000"/>
          <w:lang w:val="en-US"/>
        </w:rPr>
        <w:t>Considerations on WUS for efeMTC</w:t>
      </w:r>
    </w:p>
    <w:p w14:paraId="1F2902D4" w14:textId="77777777" w:rsidR="00DD4E7D" w:rsidRPr="004A539C" w:rsidRDefault="00DD4E7D" w:rsidP="00DD4E7D">
      <w:pPr>
        <w:tabs>
          <w:tab w:val="left" w:pos="1800"/>
        </w:tabs>
        <w:spacing w:after="60"/>
        <w:rPr>
          <w:b/>
        </w:rPr>
      </w:pPr>
      <w:r w:rsidRPr="004A539C">
        <w:rPr>
          <w:b/>
        </w:rPr>
        <w:t>Document for:</w:t>
      </w:r>
      <w:r w:rsidR="004D2A00" w:rsidRPr="004A539C">
        <w:rPr>
          <w:b/>
        </w:rPr>
        <w:tab/>
        <w:t>Discussion</w:t>
      </w:r>
      <w:r w:rsidR="00E174F6" w:rsidRPr="004A539C">
        <w:rPr>
          <w:b/>
        </w:rPr>
        <w:t xml:space="preserve"> / decision</w:t>
      </w:r>
    </w:p>
    <w:p w14:paraId="035E4F58" w14:textId="77777777"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1"/>
    <w:bookmarkEnd w:id="12"/>
    <w:p w14:paraId="1518410D" w14:textId="4CA723A9" w:rsidR="00E9249F" w:rsidRDefault="00E9249F" w:rsidP="00226014">
      <w:pPr>
        <w:jc w:val="both"/>
        <w:rPr>
          <w:lang w:val="en-US"/>
        </w:rPr>
      </w:pPr>
      <w:r>
        <w:rPr>
          <w:lang w:val="en-US"/>
        </w:rPr>
        <w:t>In RAN1</w:t>
      </w:r>
      <w:r w:rsidR="0014453B">
        <w:rPr>
          <w:lang w:val="en-US"/>
        </w:rPr>
        <w:t>#9</w:t>
      </w:r>
      <w:r w:rsidR="00004F5F">
        <w:rPr>
          <w:lang w:val="en-US"/>
        </w:rPr>
        <w:t>1</w:t>
      </w:r>
      <w:r>
        <w:rPr>
          <w:lang w:val="en-US"/>
        </w:rPr>
        <w:t xml:space="preserve">, we </w:t>
      </w:r>
      <w:r w:rsidR="00202952">
        <w:rPr>
          <w:lang w:val="en-US"/>
        </w:rPr>
        <w:t>agreed on the following</w:t>
      </w:r>
      <w:r>
        <w:rPr>
          <w:lang w:val="en-US"/>
        </w:rPr>
        <w:t>:</w:t>
      </w:r>
    </w:p>
    <w:p w14:paraId="37B7A221" w14:textId="7119E742" w:rsidR="00004F5F" w:rsidRPr="00004F5F" w:rsidRDefault="00004F5F" w:rsidP="00004F5F">
      <w:pPr>
        <w:numPr>
          <w:ilvl w:val="0"/>
          <w:numId w:val="23"/>
        </w:numPr>
        <w:rPr>
          <w:i/>
          <w:szCs w:val="20"/>
        </w:rPr>
      </w:pPr>
      <w:r w:rsidRPr="00004F5F">
        <w:rPr>
          <w:i/>
          <w:szCs w:val="20"/>
        </w:rPr>
        <w:t>At least in a UE’s DRX cycle, one WUS informs UE whether to monitor the PO in a single DRX cycle</w:t>
      </w:r>
    </w:p>
    <w:p w14:paraId="633A07A0" w14:textId="6959A77C" w:rsidR="00004F5F" w:rsidRPr="00004F5F" w:rsidRDefault="00004F5F" w:rsidP="00004F5F">
      <w:pPr>
        <w:numPr>
          <w:ilvl w:val="0"/>
          <w:numId w:val="23"/>
        </w:numPr>
        <w:rPr>
          <w:i/>
          <w:szCs w:val="20"/>
        </w:rPr>
      </w:pPr>
      <w:r w:rsidRPr="00004F5F">
        <w:rPr>
          <w:i/>
          <w:szCs w:val="20"/>
        </w:rPr>
        <w:t>There is at least one WUS parameter determined by at least SI for at least IDLE_MODE UE.</w:t>
      </w:r>
    </w:p>
    <w:p w14:paraId="75ABC62C" w14:textId="59DE8343" w:rsidR="00004F5F" w:rsidRPr="00004F5F" w:rsidRDefault="00004F5F" w:rsidP="00004F5F">
      <w:pPr>
        <w:numPr>
          <w:ilvl w:val="0"/>
          <w:numId w:val="23"/>
        </w:numPr>
        <w:rPr>
          <w:i/>
          <w:szCs w:val="20"/>
        </w:rPr>
      </w:pPr>
      <w:r w:rsidRPr="00004F5F">
        <w:rPr>
          <w:i/>
          <w:szCs w:val="20"/>
        </w:rPr>
        <w:t>The [maximum] WUS length in a cell is configurable</w:t>
      </w:r>
    </w:p>
    <w:p w14:paraId="47EE08A9" w14:textId="77777777" w:rsidR="00004F5F" w:rsidRPr="00004F5F" w:rsidRDefault="00004F5F" w:rsidP="00004F5F">
      <w:pPr>
        <w:numPr>
          <w:ilvl w:val="0"/>
          <w:numId w:val="23"/>
        </w:numPr>
        <w:rPr>
          <w:i/>
          <w:szCs w:val="20"/>
        </w:rPr>
      </w:pPr>
      <w:r w:rsidRPr="00004F5F">
        <w:rPr>
          <w:i/>
          <w:szCs w:val="20"/>
        </w:rPr>
        <w:t>Further study the benefits of potential diversity methods in WUS design</w:t>
      </w:r>
    </w:p>
    <w:p w14:paraId="11CF1F6D" w14:textId="77777777" w:rsidR="00004F5F" w:rsidRPr="00004F5F" w:rsidRDefault="00004F5F" w:rsidP="00004F5F">
      <w:pPr>
        <w:numPr>
          <w:ilvl w:val="0"/>
          <w:numId w:val="23"/>
        </w:numPr>
        <w:rPr>
          <w:i/>
          <w:szCs w:val="20"/>
        </w:rPr>
      </w:pPr>
      <w:r w:rsidRPr="00004F5F">
        <w:rPr>
          <w:i/>
          <w:szCs w:val="20"/>
        </w:rPr>
        <w:t>Further study the benefits of potential inter-cell interference randomization methods in WUS design</w:t>
      </w:r>
    </w:p>
    <w:p w14:paraId="51F55EE1" w14:textId="77777777" w:rsidR="00004F5F" w:rsidRPr="008C7B3F" w:rsidRDefault="00004F5F" w:rsidP="00004F5F">
      <w:pPr>
        <w:rPr>
          <w:szCs w:val="20"/>
        </w:rPr>
      </w:pPr>
    </w:p>
    <w:p w14:paraId="635A8A13" w14:textId="7F1DD7B2" w:rsidR="00C27270" w:rsidRDefault="00004F5F" w:rsidP="00226014">
      <w:pPr>
        <w:jc w:val="both"/>
        <w:rPr>
          <w:rFonts w:eastAsia="MS Mincho"/>
          <w:lang w:val="en-US"/>
        </w:rPr>
      </w:pPr>
      <w:r>
        <w:rPr>
          <w:rFonts w:eastAsia="MS Mincho"/>
          <w:lang w:val="en-US"/>
        </w:rPr>
        <w:t>We made the following working assumption</w:t>
      </w:r>
      <w:r w:rsidR="00C27270">
        <w:rPr>
          <w:rFonts w:eastAsia="MS Mincho"/>
          <w:lang w:val="en-US"/>
        </w:rPr>
        <w:t>:</w:t>
      </w:r>
    </w:p>
    <w:p w14:paraId="36EDA849" w14:textId="77777777" w:rsidR="00004F5F" w:rsidRPr="00004F5F" w:rsidRDefault="00004F5F" w:rsidP="00004F5F">
      <w:pPr>
        <w:numPr>
          <w:ilvl w:val="1"/>
          <w:numId w:val="23"/>
        </w:numPr>
        <w:rPr>
          <w:i/>
          <w:szCs w:val="20"/>
        </w:rPr>
      </w:pPr>
      <w:r w:rsidRPr="00004F5F">
        <w:rPr>
          <w:i/>
          <w:szCs w:val="20"/>
        </w:rPr>
        <w:t>At least in a UE’s DRX cycle, how the UE knows the WUS time location, is:</w:t>
      </w:r>
    </w:p>
    <w:p w14:paraId="565DD308" w14:textId="77777777" w:rsidR="00004F5F" w:rsidRPr="00004F5F" w:rsidRDefault="00004F5F" w:rsidP="00004F5F">
      <w:pPr>
        <w:numPr>
          <w:ilvl w:val="2"/>
          <w:numId w:val="23"/>
        </w:numPr>
        <w:rPr>
          <w:i/>
          <w:szCs w:val="20"/>
        </w:rPr>
      </w:pPr>
      <w:r w:rsidRPr="00004F5F">
        <w:rPr>
          <w:i/>
          <w:szCs w:val="20"/>
        </w:rPr>
        <w:t>A WUS has a time location which is configurable with respect to the associated PO(s) location(s)</w:t>
      </w:r>
    </w:p>
    <w:p w14:paraId="485E9627" w14:textId="77777777" w:rsidR="00004F5F" w:rsidRDefault="00004F5F" w:rsidP="00226014">
      <w:pPr>
        <w:jc w:val="both"/>
        <w:rPr>
          <w:rFonts w:eastAsia="MS Mincho"/>
          <w:lang w:val="en-US"/>
        </w:rPr>
      </w:pPr>
    </w:p>
    <w:p w14:paraId="6025AA25" w14:textId="494B22A1" w:rsidR="00187E09" w:rsidRDefault="0014453B" w:rsidP="00226014">
      <w:pPr>
        <w:jc w:val="both"/>
        <w:rPr>
          <w:rFonts w:eastAsia="MS Mincho"/>
          <w:lang w:val="en-US"/>
        </w:rPr>
      </w:pPr>
      <w:r>
        <w:rPr>
          <w:rFonts w:eastAsia="MS Mincho"/>
          <w:lang w:val="en-US"/>
        </w:rPr>
        <w:t xml:space="preserve">This contribution </w:t>
      </w:r>
      <w:r w:rsidR="00C27270">
        <w:rPr>
          <w:rFonts w:eastAsia="MS Mincho"/>
          <w:lang w:val="en-US"/>
        </w:rPr>
        <w:t xml:space="preserve">discusses </w:t>
      </w:r>
      <w:r w:rsidR="00004F5F">
        <w:rPr>
          <w:rFonts w:eastAsia="MS Mincho"/>
          <w:lang w:val="en-US"/>
        </w:rPr>
        <w:t>some considerations in using WUS for efeMTC</w:t>
      </w:r>
      <w:r w:rsidR="00202952">
        <w:rPr>
          <w:rFonts w:eastAsia="MS Mincho"/>
          <w:lang w:val="en-US"/>
        </w:rPr>
        <w:t>.</w:t>
      </w:r>
    </w:p>
    <w:p w14:paraId="434C199A" w14:textId="1B107111" w:rsidR="00AE0A7B" w:rsidRDefault="00843DCB" w:rsidP="00AE0A7B">
      <w:pPr>
        <w:pStyle w:val="Heading1"/>
        <w:numPr>
          <w:ilvl w:val="0"/>
          <w:numId w:val="9"/>
        </w:numPr>
        <w:spacing w:after="120"/>
        <w:ind w:left="357" w:hanging="357"/>
      </w:pPr>
      <w:r>
        <w:t>Discussions</w:t>
      </w:r>
    </w:p>
    <w:p w14:paraId="35D24CFB" w14:textId="0E1CCB2A" w:rsidR="00996C3E" w:rsidRDefault="00996C3E" w:rsidP="00996C3E">
      <w:pPr>
        <w:pStyle w:val="Heading2"/>
        <w:numPr>
          <w:ilvl w:val="1"/>
          <w:numId w:val="9"/>
        </w:numPr>
        <w:rPr>
          <w:rFonts w:eastAsia="MS Mincho"/>
        </w:rPr>
      </w:pPr>
      <w:r>
        <w:rPr>
          <w:rFonts w:eastAsia="MS Mincho"/>
        </w:rPr>
        <w:t>WUS Sequence</w:t>
      </w:r>
    </w:p>
    <w:p w14:paraId="0C13ECDF" w14:textId="235CAFD5" w:rsidR="00996C3E" w:rsidRPr="00734D40" w:rsidRDefault="005951B2" w:rsidP="00996C3E">
      <w:pPr>
        <w:jc w:val="both"/>
        <w:rPr>
          <w:rFonts w:eastAsia="MS Mincho"/>
          <w:lang w:val="en-US"/>
        </w:rPr>
      </w:pPr>
      <w:r>
        <w:rPr>
          <w:rFonts w:eastAsia="MS Mincho"/>
        </w:rPr>
        <w:t>In [1] we proposed a WUS sequence that can be detected non-coherently which consists of a ZC sequence of length 63</w:t>
      </w:r>
      <w:r w:rsidR="00996C3E">
        <w:rPr>
          <w:rFonts w:eastAsia="MS Mincho"/>
        </w:rPr>
        <w:t>.</w:t>
      </w:r>
      <w:r w:rsidR="00996C3E" w:rsidRPr="00996C3E">
        <w:rPr>
          <w:rFonts w:eastAsia="MS Mincho"/>
          <w:lang w:val="en-US"/>
        </w:rPr>
        <w:t xml:space="preserve"> </w:t>
      </w:r>
      <w:r w:rsidR="00996C3E">
        <w:rPr>
          <w:rFonts w:eastAsia="MS Mincho"/>
          <w:lang w:val="en-US"/>
        </w:rPr>
        <w:t xml:space="preserve"> </w:t>
      </w:r>
      <w:r w:rsidR="00996C3E" w:rsidRPr="00734D40">
        <w:rPr>
          <w:rFonts w:eastAsia="MS Mincho"/>
          <w:lang w:val="en-US"/>
        </w:rPr>
        <w:t xml:space="preserve">In the frequency domain, consider the sequence </w:t>
      </w:r>
      <w:r w:rsidR="00996C3E" w:rsidRPr="00734D40">
        <w:rPr>
          <w:rFonts w:eastAsia="MS Mincho"/>
          <w:i/>
          <w:lang w:val="en-US"/>
        </w:rPr>
        <w:t>X</w:t>
      </w:r>
      <w:r w:rsidR="00996C3E" w:rsidRPr="00734D40">
        <w:rPr>
          <w:rFonts w:eastAsia="MS Mincho"/>
          <w:lang w:val="en-US"/>
        </w:rPr>
        <w:t>(</w:t>
      </w:r>
      <w:r w:rsidR="00996C3E" w:rsidRPr="00734D40">
        <w:rPr>
          <w:rFonts w:eastAsia="MS Mincho"/>
          <w:i/>
          <w:lang w:val="en-US"/>
        </w:rPr>
        <w:t>k</w:t>
      </w:r>
      <w:r w:rsidR="00996C3E" w:rsidRPr="00734D40">
        <w:rPr>
          <w:rFonts w:eastAsia="MS Mincho"/>
          <w:lang w:val="en-US"/>
        </w:rPr>
        <w:t>):</w:t>
      </w:r>
    </w:p>
    <w:p w14:paraId="7372E799" w14:textId="77777777" w:rsidR="00996C3E" w:rsidRPr="00734D40" w:rsidRDefault="00996C3E" w:rsidP="00996C3E">
      <w:pPr>
        <w:rPr>
          <w:lang w:val="en-US"/>
        </w:rPr>
      </w:pPr>
      <m:oMathPara>
        <m:oMath>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hint="eastAsia"/>
              <w:lang w:val="en-US"/>
            </w:rPr>
            <m:t>=</m:t>
          </m:r>
          <m:r>
            <w:rPr>
              <w:rFonts w:ascii="Cambria Math" w:hAnsi="Cambria Math"/>
            </w:rPr>
            <m:t>P</m:t>
          </m:r>
          <m:d>
            <m:dPr>
              <m:ctrlPr>
                <w:rPr>
                  <w:rFonts w:ascii="Cambria Math" w:hAnsi="Cambria Math"/>
                  <w:i/>
                </w:rPr>
              </m:ctrlPr>
            </m:dPr>
            <m:e>
              <m:r>
                <w:rPr>
                  <w:rFonts w:ascii="Cambria Math" w:hAnsi="Cambria Math"/>
                </w:rPr>
                <m:t>k</m:t>
              </m:r>
            </m:e>
          </m:d>
          <m:r>
            <w:rPr>
              <w:rFonts w:ascii="Cambria Math" w:hAnsi="Cambria Math"/>
            </w:rPr>
            <m:t>Z</m:t>
          </m:r>
          <m:d>
            <m:dPr>
              <m:ctrlPr>
                <w:rPr>
                  <w:rFonts w:ascii="Cambria Math" w:hAnsi="Cambria Math"/>
                  <w:i/>
                </w:rPr>
              </m:ctrlPr>
            </m:dPr>
            <m:e>
              <m:r>
                <w:rPr>
                  <w:rFonts w:ascii="Cambria Math" w:hAnsi="Cambria Math"/>
                </w:rPr>
                <m:t>k</m:t>
              </m:r>
            </m:e>
          </m:d>
        </m:oMath>
      </m:oMathPara>
    </w:p>
    <w:p w14:paraId="1A2BC874" w14:textId="77777777" w:rsidR="00996C3E" w:rsidRDefault="00996C3E" w:rsidP="00996C3E">
      <w:pPr>
        <w:jc w:val="both"/>
        <w:rPr>
          <w:lang w:val="en-US"/>
        </w:rPr>
      </w:pPr>
      <w:r>
        <w:rPr>
          <w:lang w:val="en-US"/>
        </w:rPr>
        <w:t xml:space="preserve">where, </w:t>
      </w:r>
      <w:r>
        <w:rPr>
          <w:i/>
          <w:lang w:val="en-US"/>
        </w:rPr>
        <w:t>P</w:t>
      </w:r>
      <w:r>
        <w:rPr>
          <w:lang w:val="en-US"/>
        </w:rPr>
        <w:t>(</w:t>
      </w:r>
      <w:r>
        <w:rPr>
          <w:i/>
          <w:lang w:val="en-US"/>
        </w:rPr>
        <w:t>k</w:t>
      </w:r>
      <w:r>
        <w:rPr>
          <w:lang w:val="en-US"/>
        </w:rPr>
        <w:t xml:space="preserve">) is a PN sequence, </w:t>
      </w:r>
      <w:r>
        <w:rPr>
          <w:i/>
          <w:lang w:val="en-US"/>
        </w:rPr>
        <w:t>Z</w:t>
      </w:r>
      <w:r>
        <w:rPr>
          <w:lang w:val="en-US"/>
        </w:rPr>
        <w:t>(</w:t>
      </w:r>
      <w:r>
        <w:rPr>
          <w:i/>
          <w:lang w:val="en-US"/>
        </w:rPr>
        <w:t>k</w:t>
      </w:r>
      <w:r>
        <w:rPr>
          <w:lang w:val="en-US"/>
        </w:rPr>
        <w:t xml:space="preserve">) is the Zadoff-Chu sequence for </w:t>
      </w:r>
      <m:oMath>
        <m:r>
          <w:rPr>
            <w:rFonts w:ascii="Cambria Math" w:hAnsi="Cambria Math"/>
          </w:rPr>
          <m:t>k</m:t>
        </m:r>
        <m:r>
          <w:rPr>
            <w:rFonts w:ascii="Cambria Math" w:hAnsi="Cambria Math"/>
            <w:lang w:val="en-US"/>
          </w:rPr>
          <m:t>=0,1,2,..</m:t>
        </m:r>
        <m:sSub>
          <m:sSubPr>
            <m:ctrlPr>
              <w:rPr>
                <w:rFonts w:ascii="Cambria Math" w:hAnsi="Cambria Math"/>
                <w:i/>
              </w:rPr>
            </m:ctrlPr>
          </m:sSubPr>
          <m:e>
            <m:r>
              <w:rPr>
                <w:rFonts w:ascii="Cambria Math" w:hAnsi="Cambria Math"/>
              </w:rPr>
              <m:t>N</m:t>
            </m:r>
          </m:e>
          <m:sub>
            <m:r>
              <w:rPr>
                <w:rFonts w:ascii="Cambria Math" w:hAnsi="Cambria Math"/>
              </w:rPr>
              <m:t>SC</m:t>
            </m:r>
          </m:sub>
        </m:sSub>
        <m:r>
          <w:rPr>
            <w:rFonts w:ascii="Cambria Math" w:hAnsi="Cambria Math"/>
            <w:lang w:val="en-US"/>
          </w:rPr>
          <m:t>-1</m:t>
        </m:r>
      </m:oMath>
      <w:r>
        <w:rPr>
          <w:lang w:val="en-US"/>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SC</m:t>
            </m:r>
          </m:sub>
        </m:sSub>
      </m:oMath>
      <w:r>
        <w:rPr>
          <w:lang w:val="en-US"/>
        </w:rPr>
        <w:t xml:space="preserve"> is the number of sub-carriers used for the WUS preamble.  We use a ZC length of 63, i.e. </w:t>
      </w:r>
      <w:r>
        <w:rPr>
          <w:i/>
          <w:lang w:val="en-US"/>
        </w:rPr>
        <w:t>N</w:t>
      </w:r>
      <w:r>
        <w:rPr>
          <w:i/>
          <w:vertAlign w:val="subscript"/>
          <w:lang w:val="en-US"/>
        </w:rPr>
        <w:t>SC</w:t>
      </w:r>
      <w:r>
        <w:rPr>
          <w:lang w:val="en-US"/>
        </w:rPr>
        <w:t xml:space="preserve">=63.  In the time domain, the WUS preamble </w:t>
      </w:r>
      <w:r>
        <w:rPr>
          <w:i/>
          <w:lang w:val="en-US"/>
        </w:rPr>
        <w:t>w</w:t>
      </w:r>
      <w:r>
        <w:rPr>
          <w:i/>
          <w:vertAlign w:val="subscript"/>
          <w:lang w:val="en-US"/>
        </w:rPr>
        <w:t>m</w:t>
      </w:r>
      <w:r>
        <w:rPr>
          <w:lang w:val="en-US"/>
        </w:rPr>
        <w:t>(</w:t>
      </w:r>
      <w:r>
        <w:rPr>
          <w:i/>
          <w:lang w:val="en-US"/>
        </w:rPr>
        <w:t>k</w:t>
      </w:r>
      <w:r>
        <w:rPr>
          <w:lang w:val="en-US"/>
        </w:rPr>
        <w:t xml:space="preserve">) for symbol </w:t>
      </w:r>
      <w:r>
        <w:rPr>
          <w:i/>
          <w:lang w:val="en-US"/>
        </w:rPr>
        <w:t>m</w:t>
      </w:r>
      <w:r>
        <w:rPr>
          <w:lang w:val="en-US"/>
        </w:rPr>
        <w:t xml:space="preserve"> is:</w:t>
      </w:r>
    </w:p>
    <w:p w14:paraId="1CB5C4F6" w14:textId="77777777" w:rsidR="00996C3E" w:rsidRDefault="00B97096" w:rsidP="00996C3E">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=x(k) e</m:t>
              </m:r>
            </m:e>
            <m:sup>
              <m:sSub>
                <m:sSubPr>
                  <m:ctrlPr>
                    <w:rPr>
                      <w:rFonts w:ascii="Cambria Math" w:hAnsi="Cambria Math"/>
                      <w:i/>
                    </w:rPr>
                  </m:ctrlPr>
                </m:sSubPr>
                <m:e>
                  <m:r>
                    <w:rPr>
                      <w:rFonts w:ascii="Cambria Math" w:hAnsi="Cambria Math"/>
                    </w:rPr>
                    <m:t>-ja</m:t>
                  </m:r>
                </m:e>
                <m:sub>
                  <m:r>
                    <w:rPr>
                      <w:rFonts w:ascii="Cambria Math" w:hAnsi="Cambria Math"/>
                    </w:rPr>
                    <m:t>m</m:t>
                  </m:r>
                </m:sub>
              </m:sSub>
              <m:r>
                <w:rPr>
                  <w:rFonts w:ascii="Cambria Math" w:hAnsi="Cambria Math"/>
                </w:rPr>
                <m:t>k</m:t>
              </m:r>
            </m:sup>
          </m:sSup>
        </m:oMath>
      </m:oMathPara>
    </w:p>
    <w:p w14:paraId="0451DB66" w14:textId="76354416" w:rsidR="00996C3E" w:rsidRDefault="00996C3E" w:rsidP="00996C3E">
      <w:pPr>
        <w:jc w:val="both"/>
        <w:rPr>
          <w:lang w:val="en-US"/>
        </w:rPr>
      </w:pPr>
      <w:r>
        <w:rPr>
          <w:lang w:val="en-US"/>
        </w:rPr>
        <w:t xml:space="preserve">where </w:t>
      </w:r>
      <w:r>
        <w:rPr>
          <w:i/>
          <w:lang w:val="en-US"/>
        </w:rPr>
        <w:t>x(k)</w:t>
      </w:r>
      <w:r>
        <w:rPr>
          <w:lang w:val="en-US"/>
        </w:rPr>
        <w:t xml:space="preserve"> is the inverse Fourier transform of </w:t>
      </w:r>
      <w:r>
        <w:rPr>
          <w:i/>
          <w:lang w:val="en-US"/>
        </w:rPr>
        <w:t>X</w:t>
      </w:r>
      <w:r>
        <w:rPr>
          <w:lang w:val="en-US"/>
        </w:rPr>
        <w:t>(</w:t>
      </w:r>
      <w:r>
        <w:rPr>
          <w:i/>
          <w:lang w:val="en-US"/>
        </w:rPr>
        <w:t>k</w:t>
      </w:r>
      <w:r>
        <w:rPr>
          <w:lang w:val="en-US"/>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m</m:t>
            </m:r>
          </m:sub>
        </m:sSub>
      </m:oMath>
      <w:r>
        <w:rPr>
          <w:lang w:val="en-US"/>
        </w:rPr>
        <w:t xml:space="preserve"> is a frequency shift component for preamble symbol </w:t>
      </w:r>
      <w:r>
        <w:rPr>
          <w:i/>
          <w:lang w:val="en-US"/>
        </w:rPr>
        <w:t>m</w:t>
      </w:r>
      <w:r>
        <w:rPr>
          <w:lang w:val="en-US"/>
        </w:rPr>
        <w:t xml:space="preserve">.  This frequency shift is added to mitigate interference by setting </w:t>
      </w:r>
      <w:r>
        <w:rPr>
          <w:i/>
          <w:lang w:val="en-US"/>
        </w:rPr>
        <w:t>a</w:t>
      </w:r>
      <w:r>
        <w:rPr>
          <w:i/>
          <w:vertAlign w:val="subscript"/>
          <w:lang w:val="en-US"/>
        </w:rPr>
        <w:t>m</w:t>
      </w:r>
      <w:r>
        <w:rPr>
          <w:lang w:val="en-US"/>
        </w:rPr>
        <w:t xml:space="preserve">=0 for odd symbol index and </w:t>
      </w:r>
      <m:oMath>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lang w:val="en-US"/>
          </w:rPr>
          <m:t>= 2</m:t>
        </m:r>
        <m:r>
          <w:rPr>
            <w:rFonts w:ascii="Cambria Math" w:hAnsi="Cambria Math"/>
          </w:rPr>
          <m:t>πnS</m:t>
        </m:r>
      </m:oMath>
      <w:r>
        <w:rPr>
          <w:lang w:val="en-US"/>
        </w:rPr>
        <w:t xml:space="preserve"> for even symbol index where </w:t>
      </w:r>
      <w:r>
        <w:rPr>
          <w:i/>
          <w:lang w:val="en-US"/>
        </w:rPr>
        <w:t>n</w:t>
      </w:r>
      <w:r>
        <w:rPr>
          <w:lang w:val="en-US"/>
        </w:rPr>
        <w:t xml:space="preserve"> is an integer and </w:t>
      </w:r>
      <w:r>
        <w:rPr>
          <w:i/>
          <w:lang w:val="en-US"/>
        </w:rPr>
        <w:t>S</w:t>
      </w:r>
      <w:r>
        <w:rPr>
          <w:lang w:val="en-US"/>
        </w:rPr>
        <w:t xml:space="preserve"> is the subcarrier spacing, </w:t>
      </w:r>
      <w:r w:rsidR="007714B8">
        <w:rPr>
          <w:lang w:val="en-US"/>
        </w:rPr>
        <w:t>wh</w:t>
      </w:r>
      <w:r w:rsidR="00680A08">
        <w:rPr>
          <w:lang w:val="en-US"/>
        </w:rPr>
        <w:t xml:space="preserve">ere </w:t>
      </w:r>
      <w:r w:rsidR="00680A08" w:rsidRPr="00680A08">
        <w:rPr>
          <w:i/>
          <w:lang w:val="en-US"/>
        </w:rPr>
        <w:t>n</w:t>
      </w:r>
      <w:r w:rsidR="007714B8">
        <w:rPr>
          <w:lang w:val="en-US"/>
        </w:rPr>
        <w:t xml:space="preserve"> can be a different value (frequency shift) for different cells, </w:t>
      </w:r>
      <w:r>
        <w:rPr>
          <w:lang w:val="en-US"/>
        </w:rPr>
        <w:t>i.e.:</w:t>
      </w:r>
    </w:p>
    <w:p w14:paraId="535A9D36" w14:textId="77777777" w:rsidR="00996C3E" w:rsidRDefault="00B97096" w:rsidP="00996C3E">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m</m:t>
                  </m:r>
                </m:sub>
              </m:sSub>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e</m:t>
              </m:r>
            </m:e>
            <m:sup>
              <m:sSub>
                <m:sSubPr>
                  <m:ctrlPr>
                    <w:rPr>
                      <w:rFonts w:ascii="Cambria Math" w:hAnsi="Cambria Math"/>
                      <w:i/>
                    </w:rPr>
                  </m:ctrlPr>
                </m:sSubPr>
                <m:e>
                  <m:r>
                    <w:rPr>
                      <w:rFonts w:ascii="Cambria Math" w:hAnsi="Cambria Math"/>
                    </w:rPr>
                    <m:t>-ja</m:t>
                  </m:r>
                </m:e>
                <m:sub>
                  <m:r>
                    <w:rPr>
                      <w:rFonts w:ascii="Cambria Math" w:hAnsi="Cambria Math"/>
                    </w:rPr>
                    <m:t>m</m:t>
                  </m:r>
                </m:sub>
              </m:sSub>
              <m:r>
                <w:rPr>
                  <w:rFonts w:ascii="Cambria Math" w:hAnsi="Cambria Math"/>
                </w:rPr>
                <m:t>k</m:t>
              </m:r>
            </m:sup>
          </m:sSup>
        </m:oMath>
      </m:oMathPara>
    </w:p>
    <w:p w14:paraId="564E138E" w14:textId="77777777" w:rsidR="00996C3E" w:rsidRDefault="00B97096" w:rsidP="00996C3E">
      <m:oMathPara>
        <m:oMath>
          <m:sSub>
            <m:sSubPr>
              <m:ctrlPr>
                <w:rPr>
                  <w:rFonts w:ascii="Cambria Math" w:hAnsi="Cambria Math"/>
                  <w:i/>
                </w:rPr>
              </m:ctrlPr>
            </m:sSubPr>
            <m:e>
              <m:r>
                <w:rPr>
                  <w:rFonts w:ascii="Cambria Math" w:hAnsi="Cambria Math"/>
                </w:rPr>
                <m:t>w</m:t>
              </m:r>
            </m:e>
            <m:sub>
              <m:r>
                <w:rPr>
                  <w:rFonts w:ascii="Cambria Math" w:hAnsi="Cambria Math"/>
                </w:rPr>
                <m:t>m+1</m:t>
              </m:r>
            </m:sub>
          </m:sSub>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k</m:t>
              </m:r>
            </m:e>
          </m:d>
        </m:oMath>
      </m:oMathPara>
    </w:p>
    <w:p w14:paraId="0C5120DB" w14:textId="77777777" w:rsidR="00996C3E" w:rsidRDefault="00B97096" w:rsidP="00996C3E">
      <m:oMathPara>
        <m:oMath>
          <m:sSup>
            <m:sSupPr>
              <m:ctrlPr>
                <w:rPr>
                  <w:rFonts w:ascii="Cambria Math" w:hAnsi="Cambria Math"/>
                  <w:i/>
                </w:rPr>
              </m:ctrlPr>
            </m:sSupPr>
            <m:e>
              <m:sSub>
                <m:sSubPr>
                  <m:ctrlPr>
                    <w:rPr>
                      <w:rFonts w:ascii="Cambria Math" w:hAnsi="Cambria Math"/>
                      <w:i/>
                    </w:rPr>
                  </m:ctrlPr>
                </m:sSubPr>
                <m:e>
                  <m:r>
                    <w:rPr>
                      <w:rFonts w:ascii="Cambria Math" w:hAnsi="Cambria Math"/>
                    </w:rPr>
                    <m:t>w</m:t>
                  </m:r>
                </m:e>
                <m:sub>
                  <m:r>
                    <w:rPr>
                      <w:rFonts w:ascii="Cambria Math" w:hAnsi="Cambria Math"/>
                    </w:rPr>
                    <m:t>m+2</m:t>
                  </m:r>
                </m:sub>
              </m:sSub>
              <m:d>
                <m:dPr>
                  <m:ctrlPr>
                    <w:rPr>
                      <w:rFonts w:ascii="Cambria Math" w:hAnsi="Cambria Math"/>
                      <w:i/>
                    </w:rPr>
                  </m:ctrlPr>
                </m:dPr>
                <m:e>
                  <m:r>
                    <w:rPr>
                      <w:rFonts w:ascii="Cambria Math" w:hAnsi="Cambria Math"/>
                    </w:rPr>
                    <m:t>k</m:t>
                  </m:r>
                </m:e>
              </m:d>
              <m:r>
                <w:rPr>
                  <w:rFonts w:ascii="Cambria Math" w:hAnsi="Cambria Math"/>
                </w:rPr>
                <m:t>=x</m:t>
              </m:r>
              <m:d>
                <m:dPr>
                  <m:ctrlPr>
                    <w:rPr>
                      <w:rFonts w:ascii="Cambria Math" w:hAnsi="Cambria Math"/>
                      <w:i/>
                    </w:rPr>
                  </m:ctrlPr>
                </m:dPr>
                <m:e>
                  <m:r>
                    <w:rPr>
                      <w:rFonts w:ascii="Cambria Math" w:hAnsi="Cambria Math"/>
                    </w:rPr>
                    <m:t>k</m:t>
                  </m:r>
                </m:e>
              </m:d>
              <m:r>
                <w:rPr>
                  <w:rFonts w:ascii="Cambria Math" w:hAnsi="Cambria Math"/>
                </w:rPr>
                <m:t>e</m:t>
              </m:r>
            </m:e>
            <m:sup>
              <m:sSub>
                <m:sSubPr>
                  <m:ctrlPr>
                    <w:rPr>
                      <w:rFonts w:ascii="Cambria Math" w:hAnsi="Cambria Math"/>
                      <w:i/>
                    </w:rPr>
                  </m:ctrlPr>
                </m:sSubPr>
                <m:e>
                  <m:r>
                    <w:rPr>
                      <w:rFonts w:ascii="Cambria Math" w:hAnsi="Cambria Math"/>
                    </w:rPr>
                    <m:t>-ja</m:t>
                  </m:r>
                </m:e>
                <m:sub>
                  <m:r>
                    <w:rPr>
                      <w:rFonts w:ascii="Cambria Math" w:hAnsi="Cambria Math"/>
                    </w:rPr>
                    <m:t>m+2</m:t>
                  </m:r>
                </m:sub>
              </m:sSub>
              <m:r>
                <w:rPr>
                  <w:rFonts w:ascii="Cambria Math" w:hAnsi="Cambria Math"/>
                </w:rPr>
                <m:t>k</m:t>
              </m:r>
            </m:sup>
          </m:sSup>
        </m:oMath>
      </m:oMathPara>
    </w:p>
    <w:p w14:paraId="64A246CC" w14:textId="3B4BF582" w:rsidR="00004F5F" w:rsidRDefault="00996C3E" w:rsidP="00004F5F">
      <w:pPr>
        <w:rPr>
          <w:lang w:val="en-US"/>
        </w:rPr>
      </w:pPr>
      <w:r>
        <w:rPr>
          <w:lang w:val="en-US"/>
        </w:rPr>
        <w:t xml:space="preserve">The PN sequence </w:t>
      </w:r>
      <w:r>
        <w:rPr>
          <w:i/>
          <w:lang w:val="en-US"/>
        </w:rPr>
        <w:t>P</w:t>
      </w:r>
      <w:r>
        <w:rPr>
          <w:lang w:val="en-US"/>
        </w:rPr>
        <w:t>(</w:t>
      </w:r>
      <w:r>
        <w:rPr>
          <w:i/>
          <w:lang w:val="en-US"/>
        </w:rPr>
        <w:t>k</w:t>
      </w:r>
      <w:r>
        <w:rPr>
          <w:lang w:val="en-US"/>
        </w:rPr>
        <w:t>) can be initialised to a different value for each of these pairs so that the start of the WUS preamble can be detected by the UE.  This initialisation and PN sequence can be made different for different cell</w:t>
      </w:r>
      <w:r w:rsidR="00334EAC">
        <w:rPr>
          <w:lang w:val="en-US"/>
        </w:rPr>
        <w:t>s</w:t>
      </w:r>
      <w:r>
        <w:rPr>
          <w:lang w:val="en-US"/>
        </w:rPr>
        <w:t xml:space="preserve"> which could randomize inter-cell interference.</w:t>
      </w:r>
    </w:p>
    <w:p w14:paraId="7625D1F3" w14:textId="46AE7F7B" w:rsidR="00996C3E" w:rsidRPr="00996C3E" w:rsidRDefault="00996C3E" w:rsidP="00004F5F">
      <w:pPr>
        <w:rPr>
          <w:b/>
          <w:lang w:val="en-US"/>
        </w:rPr>
      </w:pPr>
      <w:r w:rsidRPr="00996C3E">
        <w:rPr>
          <w:b/>
          <w:lang w:val="en-US"/>
        </w:rPr>
        <w:t>Observation 1: Introducing a frequency shift in every even symbol and initializing the PN sequence can help mitigate inter-cell interference.</w:t>
      </w:r>
    </w:p>
    <w:p w14:paraId="1FE483C9" w14:textId="65B65740" w:rsidR="00996C3E" w:rsidRPr="00996C3E" w:rsidRDefault="00996C3E" w:rsidP="00004F5F">
      <w:pPr>
        <w:rPr>
          <w:b/>
          <w:lang w:val="en-US"/>
        </w:rPr>
      </w:pPr>
      <w:r w:rsidRPr="00996C3E">
        <w:rPr>
          <w:b/>
          <w:lang w:val="en-US"/>
        </w:rPr>
        <w:t>Proposal 1: Use a ZC sequence of length 63 with a frequency shift at every even symbol</w:t>
      </w:r>
      <w:r w:rsidR="00680A08">
        <w:rPr>
          <w:b/>
          <w:lang w:val="en-US"/>
        </w:rPr>
        <w:t>.</w:t>
      </w:r>
    </w:p>
    <w:p w14:paraId="2F5D6082" w14:textId="5E00F4A5" w:rsidR="00996C3E" w:rsidRDefault="00996C3E" w:rsidP="00004F5F">
      <w:pPr>
        <w:rPr>
          <w:lang w:val="en-US"/>
        </w:rPr>
      </w:pPr>
      <w:r w:rsidRPr="00996C3E">
        <w:rPr>
          <w:b/>
          <w:lang w:val="en-US"/>
        </w:rPr>
        <w:t>Proposal 2: Use a PN sequence cover code, which is initialized t</w:t>
      </w:r>
      <w:r w:rsidR="009674E0">
        <w:rPr>
          <w:b/>
          <w:lang w:val="en-US"/>
        </w:rPr>
        <w:t>o a different value for each pa</w:t>
      </w:r>
      <w:r w:rsidRPr="00996C3E">
        <w:rPr>
          <w:b/>
          <w:lang w:val="en-US"/>
        </w:rPr>
        <w:t>i</w:t>
      </w:r>
      <w:r w:rsidR="009674E0">
        <w:rPr>
          <w:b/>
          <w:lang w:val="en-US"/>
        </w:rPr>
        <w:t>r</w:t>
      </w:r>
      <w:r w:rsidRPr="00996C3E">
        <w:rPr>
          <w:b/>
          <w:lang w:val="en-US"/>
        </w:rPr>
        <w:t xml:space="preserve"> of WUS symbols</w:t>
      </w:r>
      <w:r w:rsidR="00680A08">
        <w:rPr>
          <w:b/>
          <w:lang w:val="en-US"/>
        </w:rPr>
        <w:t>.</w:t>
      </w:r>
    </w:p>
    <w:p w14:paraId="6E390A22" w14:textId="77777777" w:rsidR="00996C3E" w:rsidRDefault="00996C3E" w:rsidP="00004F5F">
      <w:pPr>
        <w:rPr>
          <w:lang w:val="en-US"/>
        </w:rPr>
      </w:pPr>
    </w:p>
    <w:p w14:paraId="6F48E4A5" w14:textId="51584F7C" w:rsidR="00996C3E" w:rsidRDefault="00996C3E" w:rsidP="00996C3E">
      <w:pPr>
        <w:pStyle w:val="Heading2"/>
        <w:numPr>
          <w:ilvl w:val="1"/>
          <w:numId w:val="9"/>
        </w:numPr>
        <w:rPr>
          <w:rFonts w:eastAsia="MS Mincho"/>
        </w:rPr>
      </w:pPr>
      <w:r>
        <w:rPr>
          <w:rFonts w:eastAsia="MS Mincho"/>
        </w:rPr>
        <w:t>WUS &amp; MSS</w:t>
      </w:r>
    </w:p>
    <w:p w14:paraId="68BD970A" w14:textId="070B5AA1" w:rsidR="00996C3E" w:rsidRDefault="00996C3E" w:rsidP="00996C3E">
      <w:pPr>
        <w:rPr>
          <w:rFonts w:eastAsia="MS Mincho"/>
        </w:rPr>
      </w:pPr>
      <w:r>
        <w:rPr>
          <w:rFonts w:eastAsia="MS Mincho"/>
        </w:rPr>
        <w:t>In [</w:t>
      </w:r>
      <w:r w:rsidR="00FF3DB7">
        <w:rPr>
          <w:rFonts w:eastAsia="MS Mincho"/>
        </w:rPr>
        <w:t>2</w:t>
      </w:r>
      <w:r>
        <w:rPr>
          <w:rFonts w:eastAsia="MS Mincho"/>
        </w:rPr>
        <w:t xml:space="preserve">] we </w:t>
      </w:r>
      <w:r w:rsidR="00FF3DB7">
        <w:rPr>
          <w:rFonts w:eastAsia="MS Mincho"/>
        </w:rPr>
        <w:t xml:space="preserve">evaluated the energy consumption of using WUS with and without </w:t>
      </w:r>
      <w:r w:rsidR="0015032D">
        <w:rPr>
          <w:rFonts w:eastAsia="MS Mincho"/>
        </w:rPr>
        <w:t xml:space="preserve">additional sync signal such as </w:t>
      </w:r>
      <w:r w:rsidR="00FF3DB7">
        <w:rPr>
          <w:rFonts w:eastAsia="MS Mincho"/>
        </w:rPr>
        <w:t>MSS</w:t>
      </w:r>
      <w:r w:rsidR="0015032D">
        <w:rPr>
          <w:rFonts w:eastAsia="MS Mincho"/>
        </w:rPr>
        <w:t xml:space="preserve"> (MTC Sync Signal)</w:t>
      </w:r>
      <w:r w:rsidR="00A66EDA">
        <w:rPr>
          <w:rFonts w:eastAsia="MS Mincho"/>
        </w:rPr>
        <w:t xml:space="preserve"> using the assumptions in [3]</w:t>
      </w:r>
      <w:r w:rsidR="00D0315A">
        <w:rPr>
          <w:rFonts w:eastAsia="MS Mincho"/>
        </w:rPr>
        <w:t xml:space="preserve">.  The energy saving performance </w:t>
      </w:r>
      <w:r w:rsidR="00A66EDA">
        <w:rPr>
          <w:rFonts w:eastAsia="MS Mincho"/>
        </w:rPr>
        <w:t>from [2] is summarise</w:t>
      </w:r>
      <w:r w:rsidR="00053B95">
        <w:rPr>
          <w:rFonts w:eastAsia="MS Mincho"/>
        </w:rPr>
        <w:t>d</w:t>
      </w:r>
      <w:r w:rsidR="00A66EDA">
        <w:rPr>
          <w:rFonts w:eastAsia="MS Mincho"/>
        </w:rPr>
        <w:t xml:space="preserve"> in </w:t>
      </w:r>
      <w:r w:rsidR="00A66EDA">
        <w:rPr>
          <w:rFonts w:eastAsia="MS Mincho"/>
        </w:rPr>
        <w:fldChar w:fldCharType="begin"/>
      </w:r>
      <w:r w:rsidR="00A66EDA">
        <w:rPr>
          <w:rFonts w:eastAsia="MS Mincho"/>
        </w:rPr>
        <w:instrText xml:space="preserve"> REF _Ref498608490 \h </w:instrText>
      </w:r>
      <w:r w:rsidR="00A66EDA">
        <w:rPr>
          <w:rFonts w:eastAsia="MS Mincho"/>
        </w:rPr>
      </w:r>
      <w:r w:rsidR="00A66EDA">
        <w:rPr>
          <w:rFonts w:eastAsia="MS Mincho"/>
        </w:rPr>
        <w:fldChar w:fldCharType="separate"/>
      </w:r>
      <w:r w:rsidR="00191F27" w:rsidRPr="009D0495">
        <w:rPr>
          <w:lang w:val="en-US"/>
        </w:rPr>
        <w:t xml:space="preserve">Table </w:t>
      </w:r>
      <w:r w:rsidR="00191F27">
        <w:rPr>
          <w:noProof/>
          <w:lang w:val="en-US"/>
        </w:rPr>
        <w:t>1</w:t>
      </w:r>
      <w:r w:rsidR="00A66EDA">
        <w:rPr>
          <w:rFonts w:eastAsia="MS Mincho"/>
        </w:rPr>
        <w:fldChar w:fldCharType="end"/>
      </w:r>
      <w:r w:rsidR="00A66EDA">
        <w:rPr>
          <w:rFonts w:eastAsia="MS Mincho"/>
        </w:rPr>
        <w:t>.</w:t>
      </w:r>
    </w:p>
    <w:p w14:paraId="7CE5B5D9" w14:textId="77777777" w:rsidR="00A66EDA" w:rsidRPr="00792E98" w:rsidRDefault="00A66EDA" w:rsidP="00A66EDA">
      <w:pPr>
        <w:pStyle w:val="Caption"/>
        <w:jc w:val="center"/>
        <w:rPr>
          <w:rFonts w:eastAsia="MS Mincho"/>
          <w:sz w:val="20"/>
          <w:szCs w:val="20"/>
          <w:lang w:val="en-US"/>
        </w:rPr>
      </w:pPr>
      <w:bookmarkStart w:id="13" w:name="_Ref498608490"/>
      <w:r w:rsidRPr="009D0495">
        <w:rPr>
          <w:lang w:val="en-US"/>
        </w:rPr>
        <w:t xml:space="preserve">Table </w:t>
      </w:r>
      <w:r>
        <w:fldChar w:fldCharType="begin"/>
      </w:r>
      <w:r w:rsidRPr="009D0495">
        <w:rPr>
          <w:lang w:val="en-US"/>
        </w:rPr>
        <w:instrText xml:space="preserve"> SEQ Table \* ARABIC </w:instrText>
      </w:r>
      <w:r>
        <w:fldChar w:fldCharType="separate"/>
      </w:r>
      <w:r w:rsidR="00191F27">
        <w:rPr>
          <w:noProof/>
          <w:lang w:val="en-US"/>
        </w:rPr>
        <w:t>1</w:t>
      </w:r>
      <w:r>
        <w:rPr>
          <w:noProof/>
        </w:rPr>
        <w:fldChar w:fldCharType="end"/>
      </w:r>
      <w:bookmarkEnd w:id="13"/>
      <w:r w:rsidRPr="009D0495">
        <w:rPr>
          <w:lang w:val="en-US"/>
        </w:rPr>
        <w:t>: Energy consumption as a percentage of that in the baseline</w:t>
      </w:r>
    </w:p>
    <w:tbl>
      <w:tblPr>
        <w:tblW w:w="10281" w:type="dxa"/>
        <w:tblLook w:val="04A0" w:firstRow="1" w:lastRow="0" w:firstColumn="1" w:lastColumn="0" w:noHBand="0" w:noVBand="1"/>
      </w:tblPr>
      <w:tblGrid>
        <w:gridCol w:w="2835"/>
        <w:gridCol w:w="816"/>
        <w:gridCol w:w="816"/>
        <w:gridCol w:w="816"/>
        <w:gridCol w:w="917"/>
        <w:gridCol w:w="816"/>
        <w:gridCol w:w="816"/>
        <w:gridCol w:w="917"/>
        <w:gridCol w:w="816"/>
        <w:gridCol w:w="816"/>
      </w:tblGrid>
      <w:tr w:rsidR="00A66EDA" w:rsidRPr="00792E98" w14:paraId="38634F88" w14:textId="77777777" w:rsidTr="007A051C">
        <w:trPr>
          <w:trHeight w:val="300"/>
        </w:trPr>
        <w:tc>
          <w:tcPr>
            <w:tcW w:w="2835" w:type="dxa"/>
            <w:tcBorders>
              <w:top w:val="nil"/>
              <w:left w:val="nil"/>
              <w:bottom w:val="nil"/>
              <w:right w:val="nil"/>
            </w:tcBorders>
            <w:shd w:val="clear" w:color="000000" w:fill="D9D9D9"/>
            <w:noWrap/>
            <w:vAlign w:val="bottom"/>
            <w:hideMark/>
          </w:tcPr>
          <w:p w14:paraId="137E2FA2"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WUS Case</w:t>
            </w:r>
          </w:p>
        </w:tc>
        <w:tc>
          <w:tcPr>
            <w:tcW w:w="2448" w:type="dxa"/>
            <w:gridSpan w:val="3"/>
            <w:tcBorders>
              <w:top w:val="nil"/>
              <w:left w:val="nil"/>
              <w:bottom w:val="nil"/>
              <w:right w:val="nil"/>
            </w:tcBorders>
            <w:shd w:val="clear" w:color="000000" w:fill="A6A6A6"/>
            <w:noWrap/>
            <w:vAlign w:val="bottom"/>
            <w:hideMark/>
          </w:tcPr>
          <w:p w14:paraId="6AF61F9C"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Scenario A</w:t>
            </w:r>
          </w:p>
        </w:tc>
        <w:tc>
          <w:tcPr>
            <w:tcW w:w="2549" w:type="dxa"/>
            <w:gridSpan w:val="3"/>
            <w:tcBorders>
              <w:top w:val="nil"/>
              <w:left w:val="nil"/>
              <w:bottom w:val="nil"/>
              <w:right w:val="nil"/>
            </w:tcBorders>
            <w:shd w:val="clear" w:color="000000" w:fill="D9D9D9"/>
            <w:noWrap/>
            <w:vAlign w:val="bottom"/>
            <w:hideMark/>
          </w:tcPr>
          <w:p w14:paraId="7F2781A1"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Scenario B</w:t>
            </w:r>
          </w:p>
        </w:tc>
        <w:tc>
          <w:tcPr>
            <w:tcW w:w="2449" w:type="dxa"/>
            <w:gridSpan w:val="3"/>
            <w:tcBorders>
              <w:top w:val="nil"/>
              <w:left w:val="nil"/>
              <w:bottom w:val="nil"/>
              <w:right w:val="nil"/>
            </w:tcBorders>
            <w:shd w:val="clear" w:color="000000" w:fill="A6A6A6"/>
            <w:noWrap/>
            <w:vAlign w:val="bottom"/>
            <w:hideMark/>
          </w:tcPr>
          <w:p w14:paraId="29A4F54D"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Scenario C</w:t>
            </w:r>
          </w:p>
        </w:tc>
      </w:tr>
      <w:tr w:rsidR="00A66EDA" w:rsidRPr="00792E98" w14:paraId="42DF5F0D" w14:textId="77777777" w:rsidTr="007A051C">
        <w:trPr>
          <w:trHeight w:val="300"/>
        </w:trPr>
        <w:tc>
          <w:tcPr>
            <w:tcW w:w="2835" w:type="dxa"/>
            <w:tcBorders>
              <w:top w:val="nil"/>
              <w:left w:val="nil"/>
              <w:bottom w:val="nil"/>
              <w:right w:val="nil"/>
            </w:tcBorders>
            <w:shd w:val="clear" w:color="000000" w:fill="D9D9D9"/>
            <w:noWrap/>
            <w:vAlign w:val="bottom"/>
            <w:hideMark/>
          </w:tcPr>
          <w:p w14:paraId="54EEF5F6"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 </w:t>
            </w:r>
          </w:p>
        </w:tc>
        <w:tc>
          <w:tcPr>
            <w:tcW w:w="816" w:type="dxa"/>
            <w:tcBorders>
              <w:top w:val="nil"/>
              <w:left w:val="nil"/>
              <w:bottom w:val="nil"/>
              <w:right w:val="nil"/>
            </w:tcBorders>
            <w:shd w:val="clear" w:color="000000" w:fill="A6A6A6"/>
            <w:noWrap/>
            <w:vAlign w:val="bottom"/>
            <w:hideMark/>
          </w:tcPr>
          <w:p w14:paraId="6E5ECB3C"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144 dB</w:t>
            </w:r>
          </w:p>
        </w:tc>
        <w:tc>
          <w:tcPr>
            <w:tcW w:w="816" w:type="dxa"/>
            <w:tcBorders>
              <w:top w:val="nil"/>
              <w:left w:val="nil"/>
              <w:bottom w:val="nil"/>
              <w:right w:val="nil"/>
            </w:tcBorders>
            <w:shd w:val="clear" w:color="000000" w:fill="A6A6A6"/>
            <w:noWrap/>
            <w:vAlign w:val="bottom"/>
            <w:hideMark/>
          </w:tcPr>
          <w:p w14:paraId="45A7BA14"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154 dB</w:t>
            </w:r>
          </w:p>
        </w:tc>
        <w:tc>
          <w:tcPr>
            <w:tcW w:w="816" w:type="dxa"/>
            <w:tcBorders>
              <w:top w:val="nil"/>
              <w:left w:val="nil"/>
              <w:bottom w:val="nil"/>
              <w:right w:val="nil"/>
            </w:tcBorders>
            <w:shd w:val="clear" w:color="000000" w:fill="A6A6A6"/>
            <w:noWrap/>
            <w:vAlign w:val="bottom"/>
            <w:hideMark/>
          </w:tcPr>
          <w:p w14:paraId="4E9A5FB7"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164 dB</w:t>
            </w:r>
          </w:p>
        </w:tc>
        <w:tc>
          <w:tcPr>
            <w:tcW w:w="917" w:type="dxa"/>
            <w:tcBorders>
              <w:top w:val="nil"/>
              <w:left w:val="nil"/>
              <w:bottom w:val="nil"/>
              <w:right w:val="nil"/>
            </w:tcBorders>
            <w:shd w:val="clear" w:color="000000" w:fill="D9D9D9"/>
            <w:noWrap/>
            <w:vAlign w:val="bottom"/>
            <w:hideMark/>
          </w:tcPr>
          <w:p w14:paraId="1356D024"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144 dB</w:t>
            </w:r>
          </w:p>
        </w:tc>
        <w:tc>
          <w:tcPr>
            <w:tcW w:w="816" w:type="dxa"/>
            <w:tcBorders>
              <w:top w:val="nil"/>
              <w:left w:val="nil"/>
              <w:bottom w:val="nil"/>
              <w:right w:val="nil"/>
            </w:tcBorders>
            <w:shd w:val="clear" w:color="000000" w:fill="D9D9D9"/>
            <w:noWrap/>
            <w:vAlign w:val="bottom"/>
            <w:hideMark/>
          </w:tcPr>
          <w:p w14:paraId="047BB4B2"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154 dB</w:t>
            </w:r>
          </w:p>
        </w:tc>
        <w:tc>
          <w:tcPr>
            <w:tcW w:w="816" w:type="dxa"/>
            <w:tcBorders>
              <w:top w:val="nil"/>
              <w:left w:val="nil"/>
              <w:bottom w:val="nil"/>
              <w:right w:val="nil"/>
            </w:tcBorders>
            <w:shd w:val="clear" w:color="000000" w:fill="D9D9D9"/>
            <w:noWrap/>
            <w:vAlign w:val="bottom"/>
            <w:hideMark/>
          </w:tcPr>
          <w:p w14:paraId="18CFCC4F"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164 dB</w:t>
            </w:r>
          </w:p>
        </w:tc>
        <w:tc>
          <w:tcPr>
            <w:tcW w:w="816" w:type="dxa"/>
            <w:tcBorders>
              <w:top w:val="nil"/>
              <w:left w:val="nil"/>
              <w:bottom w:val="nil"/>
              <w:right w:val="nil"/>
            </w:tcBorders>
            <w:shd w:val="clear" w:color="000000" w:fill="A6A6A6"/>
            <w:noWrap/>
            <w:vAlign w:val="bottom"/>
            <w:hideMark/>
          </w:tcPr>
          <w:p w14:paraId="76DDBCA7"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144 dB</w:t>
            </w:r>
          </w:p>
        </w:tc>
        <w:tc>
          <w:tcPr>
            <w:tcW w:w="816" w:type="dxa"/>
            <w:tcBorders>
              <w:top w:val="nil"/>
              <w:left w:val="nil"/>
              <w:bottom w:val="nil"/>
              <w:right w:val="nil"/>
            </w:tcBorders>
            <w:shd w:val="clear" w:color="000000" w:fill="A6A6A6"/>
            <w:noWrap/>
            <w:vAlign w:val="bottom"/>
            <w:hideMark/>
          </w:tcPr>
          <w:p w14:paraId="339B3739"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154 dB</w:t>
            </w:r>
          </w:p>
        </w:tc>
        <w:tc>
          <w:tcPr>
            <w:tcW w:w="816" w:type="dxa"/>
            <w:tcBorders>
              <w:top w:val="nil"/>
              <w:left w:val="nil"/>
              <w:bottom w:val="nil"/>
              <w:right w:val="nil"/>
            </w:tcBorders>
            <w:shd w:val="clear" w:color="000000" w:fill="A6A6A6"/>
            <w:noWrap/>
            <w:vAlign w:val="bottom"/>
            <w:hideMark/>
          </w:tcPr>
          <w:p w14:paraId="64A2568E" w14:textId="77777777" w:rsidR="00A66EDA" w:rsidRPr="00792E98" w:rsidRDefault="00A66EDA" w:rsidP="007A051C">
            <w:pPr>
              <w:jc w:val="center"/>
              <w:rPr>
                <w:rFonts w:ascii="Calibri" w:eastAsia="Times New Roman" w:hAnsi="Calibri" w:cs="Calibri"/>
                <w:b/>
                <w:bCs/>
                <w:color w:val="000000"/>
                <w:sz w:val="20"/>
                <w:szCs w:val="20"/>
                <w:lang w:eastAsia="en-GB"/>
              </w:rPr>
            </w:pPr>
            <w:r w:rsidRPr="00792E98">
              <w:rPr>
                <w:rFonts w:ascii="Calibri" w:eastAsia="Times New Roman" w:hAnsi="Calibri" w:cs="Calibri"/>
                <w:b/>
                <w:bCs/>
                <w:color w:val="000000"/>
                <w:sz w:val="20"/>
                <w:szCs w:val="20"/>
                <w:lang w:eastAsia="en-GB"/>
              </w:rPr>
              <w:t>164 dB</w:t>
            </w:r>
          </w:p>
        </w:tc>
      </w:tr>
      <w:tr w:rsidR="00A66EDA" w:rsidRPr="00792E98" w14:paraId="110892D0" w14:textId="77777777" w:rsidTr="007A051C">
        <w:trPr>
          <w:trHeight w:val="300"/>
        </w:trPr>
        <w:tc>
          <w:tcPr>
            <w:tcW w:w="2835" w:type="dxa"/>
            <w:tcBorders>
              <w:top w:val="nil"/>
              <w:left w:val="nil"/>
              <w:bottom w:val="nil"/>
              <w:right w:val="nil"/>
            </w:tcBorders>
            <w:shd w:val="clear" w:color="auto" w:fill="auto"/>
            <w:noWrap/>
            <w:vAlign w:val="bottom"/>
            <w:hideMark/>
          </w:tcPr>
          <w:p w14:paraId="0E4E4AEB" w14:textId="77777777" w:rsidR="00A66EDA" w:rsidRPr="00792E98" w:rsidRDefault="00A66EDA" w:rsidP="007A051C">
            <w:pPr>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WUS without MSS</w:t>
            </w:r>
          </w:p>
        </w:tc>
        <w:tc>
          <w:tcPr>
            <w:tcW w:w="816" w:type="dxa"/>
            <w:tcBorders>
              <w:top w:val="nil"/>
              <w:left w:val="nil"/>
              <w:bottom w:val="nil"/>
              <w:right w:val="nil"/>
            </w:tcBorders>
            <w:shd w:val="clear" w:color="000000" w:fill="DDEBF7"/>
            <w:noWrap/>
            <w:vAlign w:val="bottom"/>
            <w:hideMark/>
          </w:tcPr>
          <w:p w14:paraId="6C9CE100"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98.34%</w:t>
            </w:r>
          </w:p>
        </w:tc>
        <w:tc>
          <w:tcPr>
            <w:tcW w:w="816" w:type="dxa"/>
            <w:tcBorders>
              <w:top w:val="nil"/>
              <w:left w:val="nil"/>
              <w:bottom w:val="nil"/>
              <w:right w:val="nil"/>
            </w:tcBorders>
            <w:shd w:val="clear" w:color="000000" w:fill="DDEBF7"/>
            <w:noWrap/>
            <w:vAlign w:val="bottom"/>
            <w:hideMark/>
          </w:tcPr>
          <w:p w14:paraId="5970AFB7"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94.51%</w:t>
            </w:r>
          </w:p>
        </w:tc>
        <w:tc>
          <w:tcPr>
            <w:tcW w:w="816" w:type="dxa"/>
            <w:tcBorders>
              <w:top w:val="nil"/>
              <w:left w:val="nil"/>
              <w:bottom w:val="nil"/>
              <w:right w:val="nil"/>
            </w:tcBorders>
            <w:shd w:val="clear" w:color="000000" w:fill="DDEBF7"/>
            <w:noWrap/>
            <w:vAlign w:val="bottom"/>
            <w:hideMark/>
          </w:tcPr>
          <w:p w14:paraId="5311DCEA"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66.86%</w:t>
            </w:r>
          </w:p>
        </w:tc>
        <w:tc>
          <w:tcPr>
            <w:tcW w:w="917" w:type="dxa"/>
            <w:tcBorders>
              <w:top w:val="nil"/>
              <w:left w:val="nil"/>
              <w:bottom w:val="nil"/>
              <w:right w:val="nil"/>
            </w:tcBorders>
            <w:shd w:val="clear" w:color="000000" w:fill="FFE699"/>
            <w:noWrap/>
            <w:vAlign w:val="bottom"/>
            <w:hideMark/>
          </w:tcPr>
          <w:p w14:paraId="6F54EA40"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88.48%</w:t>
            </w:r>
          </w:p>
        </w:tc>
        <w:tc>
          <w:tcPr>
            <w:tcW w:w="816" w:type="dxa"/>
            <w:tcBorders>
              <w:top w:val="nil"/>
              <w:left w:val="nil"/>
              <w:bottom w:val="nil"/>
              <w:right w:val="nil"/>
            </w:tcBorders>
            <w:shd w:val="clear" w:color="000000" w:fill="FFE699"/>
            <w:noWrap/>
            <w:vAlign w:val="bottom"/>
            <w:hideMark/>
          </w:tcPr>
          <w:p w14:paraId="27AB9303"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63.41%</w:t>
            </w:r>
          </w:p>
        </w:tc>
        <w:tc>
          <w:tcPr>
            <w:tcW w:w="816" w:type="dxa"/>
            <w:tcBorders>
              <w:top w:val="nil"/>
              <w:left w:val="nil"/>
              <w:bottom w:val="nil"/>
              <w:right w:val="nil"/>
            </w:tcBorders>
            <w:shd w:val="clear" w:color="000000" w:fill="FFE699"/>
            <w:noWrap/>
            <w:vAlign w:val="bottom"/>
            <w:hideMark/>
          </w:tcPr>
          <w:p w14:paraId="7C339402"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21.29%</w:t>
            </w:r>
          </w:p>
        </w:tc>
        <w:tc>
          <w:tcPr>
            <w:tcW w:w="816" w:type="dxa"/>
            <w:tcBorders>
              <w:top w:val="nil"/>
              <w:left w:val="nil"/>
              <w:bottom w:val="nil"/>
              <w:right w:val="nil"/>
            </w:tcBorders>
            <w:shd w:val="clear" w:color="000000" w:fill="FCE4D6"/>
            <w:noWrap/>
            <w:vAlign w:val="bottom"/>
            <w:hideMark/>
          </w:tcPr>
          <w:p w14:paraId="61C1FA39"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99.90%</w:t>
            </w:r>
          </w:p>
        </w:tc>
        <w:tc>
          <w:tcPr>
            <w:tcW w:w="816" w:type="dxa"/>
            <w:tcBorders>
              <w:top w:val="nil"/>
              <w:left w:val="nil"/>
              <w:bottom w:val="nil"/>
              <w:right w:val="nil"/>
            </w:tcBorders>
            <w:shd w:val="clear" w:color="000000" w:fill="FCE4D6"/>
            <w:noWrap/>
            <w:vAlign w:val="bottom"/>
            <w:hideMark/>
          </w:tcPr>
          <w:p w14:paraId="69A95351"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85.68%</w:t>
            </w:r>
          </w:p>
        </w:tc>
        <w:tc>
          <w:tcPr>
            <w:tcW w:w="816" w:type="dxa"/>
            <w:tcBorders>
              <w:top w:val="nil"/>
              <w:left w:val="nil"/>
              <w:bottom w:val="nil"/>
              <w:right w:val="nil"/>
            </w:tcBorders>
            <w:shd w:val="clear" w:color="000000" w:fill="FCE4D6"/>
            <w:noWrap/>
            <w:vAlign w:val="bottom"/>
            <w:hideMark/>
          </w:tcPr>
          <w:p w14:paraId="1FEE38DF"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31.06%</w:t>
            </w:r>
          </w:p>
        </w:tc>
      </w:tr>
      <w:tr w:rsidR="00A66EDA" w:rsidRPr="00792E98" w14:paraId="4D70663C" w14:textId="77777777" w:rsidTr="007A051C">
        <w:trPr>
          <w:trHeight w:val="360"/>
        </w:trPr>
        <w:tc>
          <w:tcPr>
            <w:tcW w:w="2835" w:type="dxa"/>
            <w:tcBorders>
              <w:top w:val="nil"/>
              <w:left w:val="nil"/>
              <w:bottom w:val="nil"/>
              <w:right w:val="nil"/>
            </w:tcBorders>
            <w:shd w:val="clear" w:color="auto" w:fill="auto"/>
            <w:noWrap/>
            <w:vAlign w:val="bottom"/>
            <w:hideMark/>
          </w:tcPr>
          <w:p w14:paraId="10F4FA33" w14:textId="77777777" w:rsidR="00A66EDA" w:rsidRPr="009D0495" w:rsidRDefault="00A66EDA" w:rsidP="007A051C">
            <w:pPr>
              <w:rPr>
                <w:rFonts w:ascii="Calibri" w:eastAsia="Times New Roman" w:hAnsi="Calibri" w:cs="Calibri"/>
                <w:color w:val="000000"/>
                <w:sz w:val="20"/>
                <w:szCs w:val="20"/>
                <w:lang w:val="en-US" w:eastAsia="en-GB"/>
              </w:rPr>
            </w:pPr>
            <w:r w:rsidRPr="009D0495">
              <w:rPr>
                <w:rFonts w:ascii="Calibri" w:eastAsia="Times New Roman" w:hAnsi="Calibri" w:cs="Calibri"/>
                <w:color w:val="000000"/>
                <w:sz w:val="20"/>
                <w:szCs w:val="20"/>
                <w:lang w:val="en-US" w:eastAsia="en-GB"/>
              </w:rPr>
              <w:t>WUS with MSS (</w:t>
            </w:r>
            <w:r w:rsidRPr="009D0495">
              <w:rPr>
                <w:rFonts w:ascii="Calibri" w:eastAsia="Times New Roman" w:hAnsi="Calibri" w:cs="Calibri"/>
                <w:i/>
                <w:iCs/>
                <w:color w:val="000000"/>
                <w:sz w:val="20"/>
                <w:szCs w:val="20"/>
                <w:lang w:val="en-US" w:eastAsia="en-GB"/>
              </w:rPr>
              <w:t>T</w:t>
            </w:r>
            <w:r w:rsidRPr="009D0495">
              <w:rPr>
                <w:rFonts w:ascii="Calibri" w:eastAsia="Times New Roman" w:hAnsi="Calibri" w:cs="Calibri"/>
                <w:i/>
                <w:iCs/>
                <w:color w:val="000000"/>
                <w:sz w:val="20"/>
                <w:szCs w:val="20"/>
                <w:vertAlign w:val="subscript"/>
                <w:lang w:val="en-US" w:eastAsia="en-GB"/>
              </w:rPr>
              <w:t>MSS-WUS</w:t>
            </w:r>
            <w:r w:rsidRPr="009D0495">
              <w:rPr>
                <w:rFonts w:ascii="Calibri" w:eastAsia="Times New Roman" w:hAnsi="Calibri" w:cs="Calibri"/>
                <w:color w:val="000000"/>
                <w:sz w:val="20"/>
                <w:szCs w:val="20"/>
                <w:lang w:val="en-US" w:eastAsia="en-GB"/>
              </w:rPr>
              <w:t>&gt;0)</w:t>
            </w:r>
          </w:p>
        </w:tc>
        <w:tc>
          <w:tcPr>
            <w:tcW w:w="816" w:type="dxa"/>
            <w:tcBorders>
              <w:top w:val="nil"/>
              <w:left w:val="nil"/>
              <w:bottom w:val="nil"/>
              <w:right w:val="nil"/>
            </w:tcBorders>
            <w:shd w:val="clear" w:color="000000" w:fill="DDEBF7"/>
            <w:noWrap/>
            <w:vAlign w:val="bottom"/>
            <w:hideMark/>
          </w:tcPr>
          <w:p w14:paraId="212F38B1"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98.34%</w:t>
            </w:r>
          </w:p>
        </w:tc>
        <w:tc>
          <w:tcPr>
            <w:tcW w:w="816" w:type="dxa"/>
            <w:tcBorders>
              <w:top w:val="nil"/>
              <w:left w:val="nil"/>
              <w:bottom w:val="nil"/>
              <w:right w:val="nil"/>
            </w:tcBorders>
            <w:shd w:val="clear" w:color="000000" w:fill="DDEBF7"/>
            <w:noWrap/>
            <w:vAlign w:val="bottom"/>
            <w:hideMark/>
          </w:tcPr>
          <w:p w14:paraId="2B9EA0B0"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94.51%</w:t>
            </w:r>
          </w:p>
        </w:tc>
        <w:tc>
          <w:tcPr>
            <w:tcW w:w="816" w:type="dxa"/>
            <w:tcBorders>
              <w:top w:val="nil"/>
              <w:left w:val="nil"/>
              <w:bottom w:val="nil"/>
              <w:right w:val="nil"/>
            </w:tcBorders>
            <w:shd w:val="clear" w:color="000000" w:fill="DDEBF7"/>
            <w:noWrap/>
            <w:vAlign w:val="bottom"/>
            <w:hideMark/>
          </w:tcPr>
          <w:p w14:paraId="7F87573A"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66.86%</w:t>
            </w:r>
          </w:p>
        </w:tc>
        <w:tc>
          <w:tcPr>
            <w:tcW w:w="917" w:type="dxa"/>
            <w:tcBorders>
              <w:top w:val="nil"/>
              <w:left w:val="nil"/>
              <w:bottom w:val="nil"/>
              <w:right w:val="nil"/>
            </w:tcBorders>
            <w:shd w:val="clear" w:color="000000" w:fill="FFE699"/>
            <w:noWrap/>
            <w:vAlign w:val="bottom"/>
            <w:hideMark/>
          </w:tcPr>
          <w:p w14:paraId="062A3D5E"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112.41%</w:t>
            </w:r>
          </w:p>
        </w:tc>
        <w:tc>
          <w:tcPr>
            <w:tcW w:w="816" w:type="dxa"/>
            <w:tcBorders>
              <w:top w:val="nil"/>
              <w:left w:val="nil"/>
              <w:bottom w:val="nil"/>
              <w:right w:val="nil"/>
            </w:tcBorders>
            <w:shd w:val="clear" w:color="000000" w:fill="FFE699"/>
            <w:noWrap/>
            <w:vAlign w:val="bottom"/>
            <w:hideMark/>
          </w:tcPr>
          <w:p w14:paraId="1D80E4D7"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78.50%</w:t>
            </w:r>
          </w:p>
        </w:tc>
        <w:tc>
          <w:tcPr>
            <w:tcW w:w="816" w:type="dxa"/>
            <w:tcBorders>
              <w:top w:val="nil"/>
              <w:left w:val="nil"/>
              <w:bottom w:val="nil"/>
              <w:right w:val="nil"/>
            </w:tcBorders>
            <w:shd w:val="clear" w:color="000000" w:fill="FFE699"/>
            <w:noWrap/>
            <w:vAlign w:val="bottom"/>
            <w:hideMark/>
          </w:tcPr>
          <w:p w14:paraId="74D7CD97"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23.12%</w:t>
            </w:r>
          </w:p>
        </w:tc>
        <w:tc>
          <w:tcPr>
            <w:tcW w:w="816" w:type="dxa"/>
            <w:tcBorders>
              <w:top w:val="nil"/>
              <w:left w:val="nil"/>
              <w:bottom w:val="nil"/>
              <w:right w:val="nil"/>
            </w:tcBorders>
            <w:shd w:val="clear" w:color="000000" w:fill="FCE4D6"/>
            <w:noWrap/>
            <w:vAlign w:val="bottom"/>
            <w:hideMark/>
          </w:tcPr>
          <w:p w14:paraId="15F7109F"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107.59%</w:t>
            </w:r>
          </w:p>
        </w:tc>
        <w:tc>
          <w:tcPr>
            <w:tcW w:w="816" w:type="dxa"/>
            <w:tcBorders>
              <w:top w:val="nil"/>
              <w:left w:val="nil"/>
              <w:bottom w:val="nil"/>
              <w:right w:val="nil"/>
            </w:tcBorders>
            <w:shd w:val="clear" w:color="000000" w:fill="FCE4D6"/>
            <w:noWrap/>
            <w:vAlign w:val="bottom"/>
            <w:hideMark/>
          </w:tcPr>
          <w:p w14:paraId="4245537E"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91.88%</w:t>
            </w:r>
          </w:p>
        </w:tc>
        <w:tc>
          <w:tcPr>
            <w:tcW w:w="816" w:type="dxa"/>
            <w:tcBorders>
              <w:top w:val="nil"/>
              <w:left w:val="nil"/>
              <w:bottom w:val="nil"/>
              <w:right w:val="nil"/>
            </w:tcBorders>
            <w:shd w:val="clear" w:color="000000" w:fill="FCE4D6"/>
            <w:noWrap/>
            <w:vAlign w:val="bottom"/>
            <w:hideMark/>
          </w:tcPr>
          <w:p w14:paraId="78A0D74C"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32.17%</w:t>
            </w:r>
          </w:p>
        </w:tc>
      </w:tr>
      <w:tr w:rsidR="00A66EDA" w:rsidRPr="00792E98" w14:paraId="47743F9A" w14:textId="77777777" w:rsidTr="007A051C">
        <w:trPr>
          <w:trHeight w:val="360"/>
        </w:trPr>
        <w:tc>
          <w:tcPr>
            <w:tcW w:w="2835" w:type="dxa"/>
            <w:tcBorders>
              <w:top w:val="nil"/>
              <w:left w:val="nil"/>
              <w:bottom w:val="nil"/>
              <w:right w:val="nil"/>
            </w:tcBorders>
            <w:shd w:val="clear" w:color="auto" w:fill="auto"/>
            <w:noWrap/>
            <w:vAlign w:val="bottom"/>
            <w:hideMark/>
          </w:tcPr>
          <w:p w14:paraId="6C0EEDBA" w14:textId="77777777" w:rsidR="00A66EDA" w:rsidRPr="009D0495" w:rsidRDefault="00A66EDA" w:rsidP="007A051C">
            <w:pPr>
              <w:rPr>
                <w:rFonts w:ascii="Calibri" w:eastAsia="Times New Roman" w:hAnsi="Calibri" w:cs="Calibri"/>
                <w:color w:val="000000"/>
                <w:sz w:val="20"/>
                <w:szCs w:val="20"/>
                <w:lang w:val="en-US" w:eastAsia="en-GB"/>
              </w:rPr>
            </w:pPr>
            <w:r w:rsidRPr="009D0495">
              <w:rPr>
                <w:rFonts w:ascii="Calibri" w:eastAsia="Times New Roman" w:hAnsi="Calibri" w:cs="Calibri"/>
                <w:color w:val="000000"/>
                <w:sz w:val="20"/>
                <w:szCs w:val="20"/>
                <w:lang w:val="en-US" w:eastAsia="en-GB"/>
              </w:rPr>
              <w:t>WUS with MSS (</w:t>
            </w:r>
            <w:r w:rsidRPr="009D0495">
              <w:rPr>
                <w:rFonts w:ascii="Calibri" w:eastAsia="Times New Roman" w:hAnsi="Calibri" w:cs="Calibri"/>
                <w:i/>
                <w:iCs/>
                <w:color w:val="000000"/>
                <w:sz w:val="20"/>
                <w:szCs w:val="20"/>
                <w:lang w:val="en-US" w:eastAsia="en-GB"/>
              </w:rPr>
              <w:t>T</w:t>
            </w:r>
            <w:r w:rsidRPr="009D0495">
              <w:rPr>
                <w:rFonts w:ascii="Calibri" w:eastAsia="Times New Roman" w:hAnsi="Calibri" w:cs="Calibri"/>
                <w:i/>
                <w:iCs/>
                <w:color w:val="000000"/>
                <w:sz w:val="20"/>
                <w:szCs w:val="20"/>
                <w:vertAlign w:val="subscript"/>
                <w:lang w:val="en-US" w:eastAsia="en-GB"/>
              </w:rPr>
              <w:t>MSS-WUS</w:t>
            </w:r>
            <w:r w:rsidRPr="009D0495">
              <w:rPr>
                <w:rFonts w:ascii="Calibri" w:eastAsia="Times New Roman" w:hAnsi="Calibri" w:cs="Calibri"/>
                <w:color w:val="000000"/>
                <w:sz w:val="20"/>
                <w:szCs w:val="20"/>
                <w:lang w:val="en-US" w:eastAsia="en-GB"/>
              </w:rPr>
              <w:t>=0)</w:t>
            </w:r>
          </w:p>
        </w:tc>
        <w:tc>
          <w:tcPr>
            <w:tcW w:w="816" w:type="dxa"/>
            <w:tcBorders>
              <w:top w:val="nil"/>
              <w:left w:val="nil"/>
              <w:bottom w:val="nil"/>
              <w:right w:val="nil"/>
            </w:tcBorders>
            <w:shd w:val="clear" w:color="000000" w:fill="DDEBF7"/>
            <w:noWrap/>
            <w:vAlign w:val="bottom"/>
            <w:hideMark/>
          </w:tcPr>
          <w:p w14:paraId="13C2E1EC"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98.34%</w:t>
            </w:r>
          </w:p>
        </w:tc>
        <w:tc>
          <w:tcPr>
            <w:tcW w:w="816" w:type="dxa"/>
            <w:tcBorders>
              <w:top w:val="nil"/>
              <w:left w:val="nil"/>
              <w:bottom w:val="nil"/>
              <w:right w:val="nil"/>
            </w:tcBorders>
            <w:shd w:val="clear" w:color="000000" w:fill="DDEBF7"/>
            <w:noWrap/>
            <w:vAlign w:val="bottom"/>
            <w:hideMark/>
          </w:tcPr>
          <w:p w14:paraId="3661DD32"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94.51%</w:t>
            </w:r>
          </w:p>
        </w:tc>
        <w:tc>
          <w:tcPr>
            <w:tcW w:w="816" w:type="dxa"/>
            <w:tcBorders>
              <w:top w:val="nil"/>
              <w:left w:val="nil"/>
              <w:bottom w:val="nil"/>
              <w:right w:val="nil"/>
            </w:tcBorders>
            <w:shd w:val="clear" w:color="000000" w:fill="DDEBF7"/>
            <w:noWrap/>
            <w:vAlign w:val="bottom"/>
            <w:hideMark/>
          </w:tcPr>
          <w:p w14:paraId="636FA56C"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66.86%</w:t>
            </w:r>
          </w:p>
        </w:tc>
        <w:tc>
          <w:tcPr>
            <w:tcW w:w="917" w:type="dxa"/>
            <w:tcBorders>
              <w:top w:val="nil"/>
              <w:left w:val="nil"/>
              <w:bottom w:val="nil"/>
              <w:right w:val="nil"/>
            </w:tcBorders>
            <w:shd w:val="clear" w:color="000000" w:fill="FFE699"/>
            <w:noWrap/>
            <w:vAlign w:val="bottom"/>
            <w:hideMark/>
          </w:tcPr>
          <w:p w14:paraId="4D2A0D68"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88.27%</w:t>
            </w:r>
          </w:p>
        </w:tc>
        <w:tc>
          <w:tcPr>
            <w:tcW w:w="816" w:type="dxa"/>
            <w:tcBorders>
              <w:top w:val="nil"/>
              <w:left w:val="nil"/>
              <w:bottom w:val="nil"/>
              <w:right w:val="nil"/>
            </w:tcBorders>
            <w:shd w:val="clear" w:color="000000" w:fill="FFE699"/>
            <w:noWrap/>
            <w:vAlign w:val="bottom"/>
            <w:hideMark/>
          </w:tcPr>
          <w:p w14:paraId="61511B35"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62.50%</w:t>
            </w:r>
          </w:p>
        </w:tc>
        <w:tc>
          <w:tcPr>
            <w:tcW w:w="816" w:type="dxa"/>
            <w:tcBorders>
              <w:top w:val="nil"/>
              <w:left w:val="nil"/>
              <w:bottom w:val="nil"/>
              <w:right w:val="nil"/>
            </w:tcBorders>
            <w:shd w:val="clear" w:color="000000" w:fill="FFE699"/>
            <w:noWrap/>
            <w:vAlign w:val="bottom"/>
            <w:hideMark/>
          </w:tcPr>
          <w:p w14:paraId="7F8DA494"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21.17%</w:t>
            </w:r>
          </w:p>
        </w:tc>
        <w:tc>
          <w:tcPr>
            <w:tcW w:w="816" w:type="dxa"/>
            <w:tcBorders>
              <w:top w:val="nil"/>
              <w:left w:val="nil"/>
              <w:bottom w:val="nil"/>
              <w:right w:val="nil"/>
            </w:tcBorders>
            <w:shd w:val="clear" w:color="000000" w:fill="FCE4D6"/>
            <w:noWrap/>
            <w:vAlign w:val="bottom"/>
            <w:hideMark/>
          </w:tcPr>
          <w:p w14:paraId="77EFCA48"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97.30%</w:t>
            </w:r>
          </w:p>
        </w:tc>
        <w:tc>
          <w:tcPr>
            <w:tcW w:w="816" w:type="dxa"/>
            <w:tcBorders>
              <w:top w:val="nil"/>
              <w:left w:val="nil"/>
              <w:bottom w:val="nil"/>
              <w:right w:val="nil"/>
            </w:tcBorders>
            <w:shd w:val="clear" w:color="000000" w:fill="FCE4D6"/>
            <w:noWrap/>
            <w:vAlign w:val="bottom"/>
            <w:hideMark/>
          </w:tcPr>
          <w:p w14:paraId="45302A8F"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82.94%</w:t>
            </w:r>
          </w:p>
        </w:tc>
        <w:tc>
          <w:tcPr>
            <w:tcW w:w="816" w:type="dxa"/>
            <w:tcBorders>
              <w:top w:val="nil"/>
              <w:left w:val="nil"/>
              <w:bottom w:val="nil"/>
              <w:right w:val="nil"/>
            </w:tcBorders>
            <w:shd w:val="clear" w:color="000000" w:fill="FCE4D6"/>
            <w:noWrap/>
            <w:vAlign w:val="bottom"/>
            <w:hideMark/>
          </w:tcPr>
          <w:p w14:paraId="63DD9A45" w14:textId="77777777" w:rsidR="00A66EDA" w:rsidRPr="00792E98" w:rsidRDefault="00A66EDA" w:rsidP="007A051C">
            <w:pPr>
              <w:jc w:val="right"/>
              <w:rPr>
                <w:rFonts w:ascii="Calibri" w:eastAsia="Times New Roman" w:hAnsi="Calibri" w:cs="Calibri"/>
                <w:color w:val="000000"/>
                <w:sz w:val="20"/>
                <w:szCs w:val="20"/>
                <w:lang w:eastAsia="en-GB"/>
              </w:rPr>
            </w:pPr>
            <w:r w:rsidRPr="00792E98">
              <w:rPr>
                <w:rFonts w:ascii="Calibri" w:eastAsia="Times New Roman" w:hAnsi="Calibri" w:cs="Calibri"/>
                <w:color w:val="000000"/>
                <w:sz w:val="20"/>
                <w:szCs w:val="20"/>
                <w:lang w:eastAsia="en-GB"/>
              </w:rPr>
              <w:t>30.18%</w:t>
            </w:r>
          </w:p>
        </w:tc>
      </w:tr>
    </w:tbl>
    <w:p w14:paraId="51B8DE6C" w14:textId="77777777" w:rsidR="00A66EDA" w:rsidRPr="00792E98" w:rsidRDefault="00A66EDA" w:rsidP="00A66EDA">
      <w:pPr>
        <w:rPr>
          <w:rFonts w:eastAsia="MS Mincho"/>
          <w:sz w:val="20"/>
          <w:szCs w:val="20"/>
          <w:lang w:val="en-US"/>
        </w:rPr>
      </w:pPr>
    </w:p>
    <w:p w14:paraId="6D1D52B8" w14:textId="7DE40282" w:rsidR="00A66EDA" w:rsidRDefault="00A66EDA" w:rsidP="00004F5F">
      <w:pPr>
        <w:rPr>
          <w:rFonts w:eastAsia="MS Mincho"/>
        </w:rPr>
      </w:pPr>
      <w:r>
        <w:rPr>
          <w:rFonts w:eastAsia="MS Mincho"/>
        </w:rPr>
        <w:t xml:space="preserve">MSS is not used in Scenario A since in this scenario </w:t>
      </w:r>
      <w:r w:rsidR="00FE45D7">
        <w:rPr>
          <w:rFonts w:eastAsia="MS Mincho"/>
        </w:rPr>
        <w:t xml:space="preserve">and </w:t>
      </w:r>
      <w:r>
        <w:rPr>
          <w:rFonts w:eastAsia="MS Mincho"/>
        </w:rPr>
        <w:t xml:space="preserve">with a small DRX cycle (2.56 seconds), the UE is synched at all times and the MSS is redundant.  The parameter </w:t>
      </w:r>
      <w:r w:rsidRPr="00A66EDA">
        <w:rPr>
          <w:rFonts w:eastAsia="MS Mincho"/>
          <w:i/>
        </w:rPr>
        <w:t>T</w:t>
      </w:r>
      <w:r w:rsidRPr="00A66EDA">
        <w:rPr>
          <w:rFonts w:eastAsia="MS Mincho"/>
          <w:i/>
          <w:vertAlign w:val="subscript"/>
        </w:rPr>
        <w:t>MSS-WUS</w:t>
      </w:r>
      <w:r>
        <w:rPr>
          <w:rFonts w:eastAsia="MS Mincho"/>
        </w:rPr>
        <w:t xml:space="preserve"> is the time between the end of MSS and the start of the WUS as shown in </w:t>
      </w:r>
      <w:r>
        <w:rPr>
          <w:rFonts w:eastAsia="MS Mincho"/>
        </w:rPr>
        <w:fldChar w:fldCharType="begin"/>
      </w:r>
      <w:r>
        <w:rPr>
          <w:rFonts w:eastAsia="MS Mincho"/>
        </w:rPr>
        <w:instrText xml:space="preserve"> REF _Ref498531747 \h </w:instrText>
      </w:r>
      <w:r>
        <w:rPr>
          <w:rFonts w:eastAsia="MS Mincho"/>
        </w:rPr>
      </w:r>
      <w:r>
        <w:rPr>
          <w:rFonts w:eastAsia="MS Mincho"/>
        </w:rPr>
        <w:fldChar w:fldCharType="separate"/>
      </w:r>
      <w:r w:rsidR="00191F27" w:rsidRPr="009D0495">
        <w:rPr>
          <w:lang w:val="en-US"/>
        </w:rPr>
        <w:t xml:space="preserve">Figure </w:t>
      </w:r>
      <w:r w:rsidR="00191F27">
        <w:rPr>
          <w:noProof/>
          <w:lang w:val="en-US"/>
        </w:rPr>
        <w:t>1</w:t>
      </w:r>
      <w:r>
        <w:rPr>
          <w:rFonts w:eastAsia="MS Mincho"/>
        </w:rPr>
        <w:fldChar w:fldCharType="end"/>
      </w:r>
      <w:r>
        <w:rPr>
          <w:rFonts w:eastAsia="MS Mincho"/>
        </w:rPr>
        <w:t xml:space="preserve">.  It can be observed that the energy consumption using MSS depends </w:t>
      </w:r>
      <w:r w:rsidR="00053B95">
        <w:rPr>
          <w:rFonts w:eastAsia="MS Mincho"/>
        </w:rPr>
        <w:t xml:space="preserve">on </w:t>
      </w:r>
      <w:r>
        <w:rPr>
          <w:rFonts w:eastAsia="MS Mincho"/>
        </w:rPr>
        <w:t xml:space="preserve">where the MSS is located relative to the WUS, i.e. dependent upon the value </w:t>
      </w:r>
      <w:r w:rsidRPr="00A66EDA">
        <w:rPr>
          <w:rFonts w:eastAsia="MS Mincho"/>
          <w:i/>
        </w:rPr>
        <w:t>T</w:t>
      </w:r>
      <w:r w:rsidRPr="00A66EDA">
        <w:rPr>
          <w:rFonts w:eastAsia="MS Mincho"/>
          <w:i/>
          <w:vertAlign w:val="subscript"/>
        </w:rPr>
        <w:t>MSS-WUS</w:t>
      </w:r>
      <w:r>
        <w:rPr>
          <w:rFonts w:eastAsia="MS Mincho"/>
        </w:rPr>
        <w:t>.</w:t>
      </w:r>
      <w:r w:rsidR="005A3ECF">
        <w:rPr>
          <w:rFonts w:eastAsia="MS Mincho"/>
        </w:rPr>
        <w:t xml:space="preserve">  Although the MSS reduces time drift </w:t>
      </w:r>
      <w:r w:rsidR="005A3ECF" w:rsidRPr="005A3ECF">
        <w:rPr>
          <w:rFonts w:eastAsia="MS Mincho"/>
          <w:i/>
        </w:rPr>
        <w:t>T</w:t>
      </w:r>
      <w:r w:rsidR="005A3ECF" w:rsidRPr="005A3ECF">
        <w:rPr>
          <w:rFonts w:eastAsia="MS Mincho"/>
          <w:i/>
          <w:vertAlign w:val="subscript"/>
        </w:rPr>
        <w:t>eDrift-WUS</w:t>
      </w:r>
      <w:r w:rsidR="005A3ECF">
        <w:rPr>
          <w:rFonts w:eastAsia="MS Mincho"/>
        </w:rPr>
        <w:t xml:space="preserve">, for </w:t>
      </w:r>
      <w:r w:rsidR="005A3ECF" w:rsidRPr="005A3ECF">
        <w:rPr>
          <w:rFonts w:eastAsia="MS Mincho"/>
          <w:i/>
        </w:rPr>
        <w:t>T</w:t>
      </w:r>
      <w:r w:rsidR="005A3ECF" w:rsidRPr="005A3ECF">
        <w:rPr>
          <w:rFonts w:eastAsia="MS Mincho"/>
          <w:i/>
          <w:vertAlign w:val="subscript"/>
        </w:rPr>
        <w:t>MSS-WUS</w:t>
      </w:r>
      <w:r w:rsidR="005A3ECF">
        <w:rPr>
          <w:rFonts w:eastAsia="MS Mincho"/>
        </w:rPr>
        <w:t xml:space="preserve">&gt;0, the energy wasted on ramping up and down from deep sleep to read the MSS is not compensated by the energy saved in reducing the time drift </w:t>
      </w:r>
      <w:r w:rsidR="005A3ECF" w:rsidRPr="005A3ECF">
        <w:rPr>
          <w:rFonts w:eastAsia="MS Mincho"/>
          <w:i/>
        </w:rPr>
        <w:t>T</w:t>
      </w:r>
      <w:r w:rsidR="005A3ECF" w:rsidRPr="005A3ECF">
        <w:rPr>
          <w:rFonts w:eastAsia="MS Mincho"/>
          <w:i/>
          <w:vertAlign w:val="subscript"/>
        </w:rPr>
        <w:t>eDrift-WUS</w:t>
      </w:r>
      <w:r w:rsidR="005A3ECF">
        <w:rPr>
          <w:rFonts w:eastAsia="MS Mincho"/>
        </w:rPr>
        <w:t xml:space="preserve">.  Hence, the energy consumption with MSS for </w:t>
      </w:r>
      <w:r w:rsidR="005A3ECF" w:rsidRPr="005A3ECF">
        <w:rPr>
          <w:rFonts w:eastAsia="MS Mincho"/>
          <w:i/>
        </w:rPr>
        <w:t>T</w:t>
      </w:r>
      <w:r w:rsidR="005A3ECF" w:rsidRPr="005A3ECF">
        <w:rPr>
          <w:rFonts w:eastAsia="MS Mincho"/>
          <w:i/>
          <w:vertAlign w:val="subscript"/>
        </w:rPr>
        <w:t>MSS-WUS</w:t>
      </w:r>
      <w:r w:rsidR="005A3ECF">
        <w:rPr>
          <w:rFonts w:eastAsia="MS Mincho"/>
        </w:rPr>
        <w:t xml:space="preserve">&gt;0 is worse than that in scenario without MSS.  For 144 dB MCL, the energy consumption using MSS with </w:t>
      </w:r>
      <w:r w:rsidR="005A3ECF" w:rsidRPr="005A3ECF">
        <w:rPr>
          <w:rFonts w:eastAsia="MS Mincho"/>
          <w:i/>
        </w:rPr>
        <w:t>T</w:t>
      </w:r>
      <w:r w:rsidR="005A3ECF" w:rsidRPr="005A3ECF">
        <w:rPr>
          <w:rFonts w:eastAsia="MS Mincho"/>
          <w:i/>
          <w:vertAlign w:val="subscript"/>
        </w:rPr>
        <w:t>MSS-WUS</w:t>
      </w:r>
      <w:r w:rsidR="005A3ECF">
        <w:rPr>
          <w:rFonts w:eastAsia="MS Mincho"/>
        </w:rPr>
        <w:t>&gt;0 is even worse than that of the baseline.  It should also be noted that if the MSS is more frequent, more energy will be used to read the MSS.</w:t>
      </w:r>
    </w:p>
    <w:p w14:paraId="01C746D6" w14:textId="77777777" w:rsidR="00A66EDA" w:rsidRDefault="00A66EDA" w:rsidP="00A66EDA">
      <w:pPr>
        <w:jc w:val="center"/>
      </w:pPr>
      <w:r>
        <w:rPr>
          <w:noProof/>
          <w:lang w:eastAsia="en-GB"/>
        </w:rPr>
        <w:lastRenderedPageBreak/>
        <w:drawing>
          <wp:inline distT="0" distB="0" distL="0" distR="0" wp14:anchorId="5F9AC76B" wp14:editId="4FE14696">
            <wp:extent cx="5206365" cy="32677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06365" cy="3267710"/>
                    </a:xfrm>
                    <a:prstGeom prst="rect">
                      <a:avLst/>
                    </a:prstGeom>
                    <a:noFill/>
                  </pic:spPr>
                </pic:pic>
              </a:graphicData>
            </a:graphic>
          </wp:inline>
        </w:drawing>
      </w:r>
    </w:p>
    <w:p w14:paraId="54F53FBB" w14:textId="77777777" w:rsidR="00A66EDA" w:rsidRPr="009D0495" w:rsidRDefault="00A66EDA" w:rsidP="00A66EDA">
      <w:pPr>
        <w:pStyle w:val="Caption"/>
        <w:jc w:val="center"/>
        <w:rPr>
          <w:lang w:val="en-US"/>
        </w:rPr>
      </w:pPr>
      <w:bookmarkStart w:id="14" w:name="_Ref498531747"/>
      <w:r w:rsidRPr="009D0495">
        <w:rPr>
          <w:lang w:val="en-US"/>
        </w:rPr>
        <w:t xml:space="preserve">Figure </w:t>
      </w:r>
      <w:r>
        <w:fldChar w:fldCharType="begin"/>
      </w:r>
      <w:r w:rsidRPr="009D0495">
        <w:rPr>
          <w:lang w:val="en-US"/>
        </w:rPr>
        <w:instrText xml:space="preserve"> SEQ Figure \* ARABIC </w:instrText>
      </w:r>
      <w:r>
        <w:fldChar w:fldCharType="separate"/>
      </w:r>
      <w:r w:rsidR="00E2033D">
        <w:rPr>
          <w:noProof/>
          <w:lang w:val="en-US"/>
        </w:rPr>
        <w:t>1</w:t>
      </w:r>
      <w:r>
        <w:rPr>
          <w:noProof/>
        </w:rPr>
        <w:fldChar w:fldCharType="end"/>
      </w:r>
      <w:bookmarkEnd w:id="14"/>
      <w:r w:rsidRPr="009D0495">
        <w:rPr>
          <w:lang w:val="en-US"/>
        </w:rPr>
        <w:t>: WUS with MSS (</w:t>
      </w:r>
      <w:r w:rsidRPr="009D0495">
        <w:rPr>
          <w:i/>
          <w:lang w:val="en-US"/>
        </w:rPr>
        <w:t>T</w:t>
      </w:r>
      <w:r w:rsidRPr="009D0495">
        <w:rPr>
          <w:i/>
          <w:vertAlign w:val="subscript"/>
          <w:lang w:val="en-US"/>
        </w:rPr>
        <w:t>MSS-WUS</w:t>
      </w:r>
      <w:r w:rsidRPr="009D0495">
        <w:rPr>
          <w:lang w:val="en-US"/>
        </w:rPr>
        <w:t xml:space="preserve"> &gt;0)</w:t>
      </w:r>
    </w:p>
    <w:p w14:paraId="039EBD0E" w14:textId="77777777" w:rsidR="005A3ECF" w:rsidRPr="00BA078E" w:rsidRDefault="005A3ECF" w:rsidP="005A3ECF">
      <w:pPr>
        <w:rPr>
          <w:rFonts w:eastAsia="MS Mincho"/>
          <w:b/>
          <w:lang w:val="en-US"/>
        </w:rPr>
      </w:pPr>
      <w:r w:rsidRPr="00BA078E">
        <w:rPr>
          <w:rFonts w:eastAsia="MS Mincho"/>
          <w:b/>
          <w:lang w:val="en-US"/>
        </w:rPr>
        <w:t xml:space="preserve">Observation 2: At 144 dB MCL, WUS with MSS for </w:t>
      </w:r>
      <w:r w:rsidRPr="00C105FC">
        <w:rPr>
          <w:rFonts w:eastAsia="MS Mincho"/>
          <w:b/>
          <w:i/>
          <w:lang w:val="en-US"/>
        </w:rPr>
        <w:t>T</w:t>
      </w:r>
      <w:r w:rsidRPr="00C105FC">
        <w:rPr>
          <w:rFonts w:eastAsia="MS Mincho"/>
          <w:b/>
          <w:i/>
          <w:vertAlign w:val="subscript"/>
          <w:lang w:val="en-US"/>
        </w:rPr>
        <w:t>MSS-WUS</w:t>
      </w:r>
      <w:r w:rsidRPr="00BA078E">
        <w:rPr>
          <w:rFonts w:eastAsia="MS Mincho"/>
          <w:b/>
          <w:lang w:val="en-US"/>
        </w:rPr>
        <w:t>&gt;0 waste</w:t>
      </w:r>
      <w:r>
        <w:rPr>
          <w:rFonts w:eastAsia="MS Mincho"/>
          <w:b/>
          <w:lang w:val="en-US"/>
        </w:rPr>
        <w:t>s</w:t>
      </w:r>
      <w:r w:rsidRPr="00BA078E">
        <w:rPr>
          <w:rFonts w:eastAsia="MS Mincho"/>
          <w:b/>
          <w:lang w:val="en-US"/>
        </w:rPr>
        <w:t xml:space="preserve"> more energy than that of the baseline.</w:t>
      </w:r>
    </w:p>
    <w:p w14:paraId="7BC77422" w14:textId="152ABD58" w:rsidR="005A3ECF" w:rsidRPr="00191F27" w:rsidRDefault="005A3ECF" w:rsidP="00004F5F">
      <w:pPr>
        <w:rPr>
          <w:rFonts w:eastAsia="MS Mincho"/>
          <w:b/>
        </w:rPr>
      </w:pPr>
      <w:r w:rsidRPr="00191F27">
        <w:rPr>
          <w:rFonts w:eastAsia="MS Mincho"/>
          <w:b/>
        </w:rPr>
        <w:t xml:space="preserve">Observation 3: </w:t>
      </w:r>
      <w:r w:rsidR="00191F27" w:rsidRPr="00191F27">
        <w:rPr>
          <w:rFonts w:eastAsia="MS Mincho"/>
          <w:b/>
        </w:rPr>
        <w:t>E</w:t>
      </w:r>
      <w:r w:rsidRPr="00191F27">
        <w:rPr>
          <w:rFonts w:eastAsia="MS Mincho"/>
          <w:b/>
        </w:rPr>
        <w:t xml:space="preserve">nergy </w:t>
      </w:r>
      <w:r w:rsidR="00191F27" w:rsidRPr="00191F27">
        <w:rPr>
          <w:rFonts w:eastAsia="MS Mincho"/>
          <w:b/>
        </w:rPr>
        <w:t xml:space="preserve">needed </w:t>
      </w:r>
      <w:r w:rsidRPr="00191F27">
        <w:rPr>
          <w:rFonts w:eastAsia="MS Mincho"/>
          <w:b/>
        </w:rPr>
        <w:t xml:space="preserve">to ramp up and down </w:t>
      </w:r>
      <w:r w:rsidR="00191F27" w:rsidRPr="00191F27">
        <w:rPr>
          <w:rFonts w:eastAsia="MS Mincho"/>
          <w:b/>
        </w:rPr>
        <w:t>from deep sleep to read the MSS leads to higher energy consumption compared to that in the WUS without MSS scenario.</w:t>
      </w:r>
    </w:p>
    <w:p w14:paraId="55D636DC" w14:textId="77777777" w:rsidR="00191F27" w:rsidRDefault="00191F27" w:rsidP="00004F5F">
      <w:pPr>
        <w:rPr>
          <w:rFonts w:eastAsia="MS Mincho"/>
        </w:rPr>
      </w:pPr>
    </w:p>
    <w:p w14:paraId="1E648C2F" w14:textId="59E7235A" w:rsidR="00191F27" w:rsidRDefault="00191F27" w:rsidP="00004F5F">
      <w:pPr>
        <w:rPr>
          <w:rFonts w:eastAsia="MS Mincho"/>
        </w:rPr>
      </w:pPr>
      <w:r>
        <w:rPr>
          <w:rFonts w:eastAsia="MS Mincho"/>
        </w:rPr>
        <w:t xml:space="preserve">An obvious way to reduce spending energy in ramping up and down from deep sleep to read the MSS is to place the MSS next to or close to the WUS, i.e. </w:t>
      </w:r>
      <w:r w:rsidRPr="00191F27">
        <w:rPr>
          <w:rFonts w:eastAsia="MS Mincho"/>
          <w:i/>
        </w:rPr>
        <w:t>T</w:t>
      </w:r>
      <w:r w:rsidRPr="00191F27">
        <w:rPr>
          <w:rFonts w:eastAsia="MS Mincho"/>
          <w:i/>
          <w:vertAlign w:val="subscript"/>
        </w:rPr>
        <w:t>MSS-WUS</w:t>
      </w:r>
      <w:r>
        <w:rPr>
          <w:rFonts w:eastAsia="MS Mincho"/>
        </w:rPr>
        <w:t xml:space="preserve"> = 0 as shown in </w:t>
      </w:r>
      <w:r>
        <w:rPr>
          <w:rFonts w:eastAsia="MS Mincho"/>
        </w:rPr>
        <w:fldChar w:fldCharType="begin"/>
      </w:r>
      <w:r>
        <w:rPr>
          <w:rFonts w:eastAsia="MS Mincho"/>
        </w:rPr>
        <w:instrText xml:space="preserve"> REF _Ref498531749 \h </w:instrText>
      </w:r>
      <w:r>
        <w:rPr>
          <w:rFonts w:eastAsia="MS Mincho"/>
        </w:rPr>
      </w:r>
      <w:r>
        <w:rPr>
          <w:rFonts w:eastAsia="MS Mincho"/>
        </w:rPr>
        <w:fldChar w:fldCharType="separate"/>
      </w:r>
      <w:r w:rsidRPr="009D0495">
        <w:rPr>
          <w:lang w:val="en-US"/>
        </w:rPr>
        <w:t xml:space="preserve">Figure </w:t>
      </w:r>
      <w:r>
        <w:rPr>
          <w:noProof/>
          <w:lang w:val="en-US"/>
        </w:rPr>
        <w:t>2</w:t>
      </w:r>
      <w:r>
        <w:rPr>
          <w:rFonts w:eastAsia="MS Mincho"/>
        </w:rPr>
        <w:fldChar w:fldCharType="end"/>
      </w:r>
      <w:r w:rsidR="00774A14">
        <w:rPr>
          <w:rFonts w:eastAsia="MS Mincho"/>
        </w:rPr>
        <w:t xml:space="preserve">.  Here, the UE needs only to ramp up/down from deep sleep once to read the MSS and WUS rather than having to perform a separate ramp up/down from deep sleep to read the MSS alone.  This would also </w:t>
      </w:r>
      <w:r w:rsidR="00053B95">
        <w:rPr>
          <w:rFonts w:eastAsia="MS Mincho"/>
        </w:rPr>
        <w:t xml:space="preserve">have </w:t>
      </w:r>
      <w:r w:rsidR="00774A14">
        <w:rPr>
          <w:rFonts w:eastAsia="MS Mincho"/>
        </w:rPr>
        <w:t xml:space="preserve">the benefit that the UE would be in sync without any time drifts prior to detecting the WUS.  As observed in </w:t>
      </w:r>
      <w:r w:rsidR="00774A14">
        <w:rPr>
          <w:rFonts w:eastAsia="MS Mincho"/>
        </w:rPr>
        <w:fldChar w:fldCharType="begin"/>
      </w:r>
      <w:r w:rsidR="00774A14">
        <w:rPr>
          <w:rFonts w:eastAsia="MS Mincho"/>
        </w:rPr>
        <w:instrText xml:space="preserve"> REF _Ref498608490 \h </w:instrText>
      </w:r>
      <w:r w:rsidR="00774A14">
        <w:rPr>
          <w:rFonts w:eastAsia="MS Mincho"/>
        </w:rPr>
      </w:r>
      <w:r w:rsidR="00774A14">
        <w:rPr>
          <w:rFonts w:eastAsia="MS Mincho"/>
        </w:rPr>
        <w:fldChar w:fldCharType="separate"/>
      </w:r>
      <w:r w:rsidR="00774A14" w:rsidRPr="009D0495">
        <w:rPr>
          <w:lang w:val="en-US"/>
        </w:rPr>
        <w:t xml:space="preserve">Table </w:t>
      </w:r>
      <w:r w:rsidR="00774A14">
        <w:rPr>
          <w:noProof/>
          <w:lang w:val="en-US"/>
        </w:rPr>
        <w:t>1</w:t>
      </w:r>
      <w:r w:rsidR="00774A14">
        <w:rPr>
          <w:rFonts w:eastAsia="MS Mincho"/>
        </w:rPr>
        <w:fldChar w:fldCharType="end"/>
      </w:r>
      <w:r w:rsidR="00774A14">
        <w:rPr>
          <w:rFonts w:eastAsia="MS Mincho"/>
        </w:rPr>
        <w:t>, this arrangement achieves the lowest energy consumption among the scenarios investigated in [2].</w:t>
      </w:r>
    </w:p>
    <w:p w14:paraId="60DA833C" w14:textId="77777777" w:rsidR="00191F27" w:rsidRDefault="00191F27" w:rsidP="00191F27">
      <w:pPr>
        <w:jc w:val="center"/>
      </w:pPr>
      <w:r>
        <w:rPr>
          <w:noProof/>
          <w:lang w:eastAsia="en-GB"/>
        </w:rPr>
        <w:lastRenderedPageBreak/>
        <w:drawing>
          <wp:inline distT="0" distB="0" distL="0" distR="0" wp14:anchorId="4B8851E9" wp14:editId="47BB4557">
            <wp:extent cx="5261610" cy="3261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1610" cy="3261360"/>
                    </a:xfrm>
                    <a:prstGeom prst="rect">
                      <a:avLst/>
                    </a:prstGeom>
                    <a:noFill/>
                  </pic:spPr>
                </pic:pic>
              </a:graphicData>
            </a:graphic>
          </wp:inline>
        </w:drawing>
      </w:r>
    </w:p>
    <w:p w14:paraId="39E9705C" w14:textId="77777777" w:rsidR="00191F27" w:rsidRPr="009D0495" w:rsidRDefault="00191F27" w:rsidP="00191F27">
      <w:pPr>
        <w:pStyle w:val="Caption"/>
        <w:jc w:val="center"/>
        <w:rPr>
          <w:lang w:val="en-US"/>
        </w:rPr>
      </w:pPr>
      <w:bookmarkStart w:id="15" w:name="_Ref498531749"/>
      <w:r w:rsidRPr="009D0495">
        <w:rPr>
          <w:lang w:val="en-US"/>
        </w:rPr>
        <w:t xml:space="preserve">Figure </w:t>
      </w:r>
      <w:r>
        <w:fldChar w:fldCharType="begin"/>
      </w:r>
      <w:r w:rsidRPr="009D0495">
        <w:rPr>
          <w:lang w:val="en-US"/>
        </w:rPr>
        <w:instrText xml:space="preserve"> SEQ Figure \* ARABIC </w:instrText>
      </w:r>
      <w:r>
        <w:fldChar w:fldCharType="separate"/>
      </w:r>
      <w:r w:rsidR="00E2033D">
        <w:rPr>
          <w:noProof/>
          <w:lang w:val="en-US"/>
        </w:rPr>
        <w:t>2</w:t>
      </w:r>
      <w:r>
        <w:rPr>
          <w:noProof/>
        </w:rPr>
        <w:fldChar w:fldCharType="end"/>
      </w:r>
      <w:bookmarkEnd w:id="15"/>
      <w:r w:rsidRPr="009D0495">
        <w:rPr>
          <w:lang w:val="en-US"/>
        </w:rPr>
        <w:t>: WUS with MSS (</w:t>
      </w:r>
      <w:r w:rsidRPr="009D0495">
        <w:rPr>
          <w:i/>
          <w:lang w:val="en-US"/>
        </w:rPr>
        <w:t>T</w:t>
      </w:r>
      <w:r w:rsidRPr="009D0495">
        <w:rPr>
          <w:i/>
          <w:vertAlign w:val="subscript"/>
          <w:lang w:val="en-US"/>
        </w:rPr>
        <w:t>MSS-WUS</w:t>
      </w:r>
      <w:r w:rsidRPr="009D0495">
        <w:rPr>
          <w:lang w:val="en-US"/>
        </w:rPr>
        <w:t>=0)</w:t>
      </w:r>
    </w:p>
    <w:p w14:paraId="1B7489E3" w14:textId="6F6FD15E" w:rsidR="00191F27" w:rsidRPr="006E01CF" w:rsidRDefault="006E01CF" w:rsidP="00004F5F">
      <w:pPr>
        <w:rPr>
          <w:rFonts w:eastAsia="MS Mincho"/>
          <w:b/>
        </w:rPr>
      </w:pPr>
      <w:r w:rsidRPr="006E01CF">
        <w:rPr>
          <w:rFonts w:eastAsia="MS Mincho"/>
          <w:b/>
        </w:rPr>
        <w:t>Proposal 3: For WUS operation with MSS, the MSS is placed just prior to the WUS such that there is no delay between the end of the MSS and start of the WUS, thereby minimising the number of ramp up</w:t>
      </w:r>
      <w:r w:rsidR="00053B95">
        <w:rPr>
          <w:rFonts w:eastAsia="MS Mincho"/>
          <w:b/>
        </w:rPr>
        <w:t>s</w:t>
      </w:r>
      <w:r w:rsidRPr="006E01CF">
        <w:rPr>
          <w:rFonts w:eastAsia="MS Mincho"/>
          <w:b/>
        </w:rPr>
        <w:t xml:space="preserve"> and down</w:t>
      </w:r>
      <w:r w:rsidR="00053B95">
        <w:rPr>
          <w:rFonts w:eastAsia="MS Mincho"/>
          <w:b/>
        </w:rPr>
        <w:t>s</w:t>
      </w:r>
      <w:r w:rsidRPr="006E01CF">
        <w:rPr>
          <w:rFonts w:eastAsia="MS Mincho"/>
          <w:b/>
        </w:rPr>
        <w:t xml:space="preserve"> from deep sleep to read the MSS.</w:t>
      </w:r>
    </w:p>
    <w:p w14:paraId="6053AD10" w14:textId="77777777" w:rsidR="00774A14" w:rsidRDefault="00774A14" w:rsidP="00004F5F">
      <w:pPr>
        <w:rPr>
          <w:rFonts w:eastAsia="MS Mincho"/>
        </w:rPr>
      </w:pPr>
    </w:p>
    <w:p w14:paraId="2376F5D8" w14:textId="3F14A871" w:rsidR="00004F5F" w:rsidRDefault="003E185B" w:rsidP="00004F5F">
      <w:pPr>
        <w:rPr>
          <w:rFonts w:eastAsia="MS Mincho"/>
        </w:rPr>
      </w:pPr>
      <w:r>
        <w:rPr>
          <w:rFonts w:eastAsia="MS Mincho"/>
        </w:rPr>
        <w:t>For eDRX operation such as Scenario B &amp; C</w:t>
      </w:r>
      <w:r w:rsidR="007C6AD3">
        <w:rPr>
          <w:rFonts w:eastAsia="MS Mincho"/>
        </w:rPr>
        <w:t xml:space="preserve"> in [3]</w:t>
      </w:r>
      <w:r>
        <w:rPr>
          <w:rFonts w:eastAsia="MS Mincho"/>
        </w:rPr>
        <w:t>, the UE would go into deep sleep and would lose sync.  Here MSS is beneficial to help the UE achi</w:t>
      </w:r>
      <w:r w:rsidR="007C6AD3">
        <w:rPr>
          <w:rFonts w:eastAsia="MS Mincho"/>
        </w:rPr>
        <w:t>eve synchronisation quickly [4].  An MSS can be placed prior to the WUS addressing the 1</w:t>
      </w:r>
      <w:r w:rsidR="007C6AD3" w:rsidRPr="007C6AD3">
        <w:rPr>
          <w:rFonts w:eastAsia="MS Mincho"/>
          <w:vertAlign w:val="superscript"/>
        </w:rPr>
        <w:t>st</w:t>
      </w:r>
      <w:r w:rsidR="007C6AD3">
        <w:rPr>
          <w:rFonts w:eastAsia="MS Mincho"/>
        </w:rPr>
        <w:t xml:space="preserve"> PO in a PTW as shown in </w:t>
      </w:r>
      <w:r w:rsidR="00730275">
        <w:rPr>
          <w:rFonts w:eastAsia="MS Mincho"/>
        </w:rPr>
        <w:fldChar w:fldCharType="begin"/>
      </w:r>
      <w:r w:rsidR="00730275">
        <w:rPr>
          <w:rFonts w:eastAsia="MS Mincho"/>
        </w:rPr>
        <w:instrText xml:space="preserve"> REF _Ref506295848 \h </w:instrText>
      </w:r>
      <w:r w:rsidR="00730275">
        <w:rPr>
          <w:rFonts w:eastAsia="MS Mincho"/>
        </w:rPr>
      </w:r>
      <w:r w:rsidR="00730275">
        <w:rPr>
          <w:rFonts w:eastAsia="MS Mincho"/>
        </w:rPr>
        <w:fldChar w:fldCharType="separate"/>
      </w:r>
      <w:r w:rsidR="00730275">
        <w:t xml:space="preserve">Figure </w:t>
      </w:r>
      <w:r w:rsidR="00730275">
        <w:rPr>
          <w:noProof/>
        </w:rPr>
        <w:t>3</w:t>
      </w:r>
      <w:r w:rsidR="00730275">
        <w:rPr>
          <w:rFonts w:eastAsia="MS Mincho"/>
        </w:rPr>
        <w:fldChar w:fldCharType="end"/>
      </w:r>
      <w:r w:rsidR="00730275">
        <w:rPr>
          <w:rFonts w:eastAsia="MS Mincho"/>
        </w:rPr>
        <w:t>.  Here the MSS would provide reliable synchronisation for the UE prior to detection of the WUS.  It is expected that the UE would use an LO XO clock within a PTW and hence another MSS may not be required within a PTW if the PTW duration is less than 16 seconds [4].</w:t>
      </w:r>
    </w:p>
    <w:p w14:paraId="69306B36" w14:textId="45A07240" w:rsidR="00730275" w:rsidRDefault="00730275" w:rsidP="00730275">
      <w:pPr>
        <w:jc w:val="center"/>
        <w:rPr>
          <w:rFonts w:eastAsia="MS Mincho"/>
        </w:rPr>
      </w:pPr>
      <w:r>
        <w:rPr>
          <w:rFonts w:eastAsia="MS Mincho"/>
          <w:noProof/>
          <w:lang w:eastAsia="en-GB"/>
        </w:rPr>
        <w:drawing>
          <wp:inline distT="0" distB="0" distL="0" distR="0" wp14:anchorId="75D7C558" wp14:editId="1EFC06E0">
            <wp:extent cx="3548380" cy="1383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8380" cy="1383665"/>
                    </a:xfrm>
                    <a:prstGeom prst="rect">
                      <a:avLst/>
                    </a:prstGeom>
                    <a:noFill/>
                  </pic:spPr>
                </pic:pic>
              </a:graphicData>
            </a:graphic>
          </wp:inline>
        </w:drawing>
      </w:r>
    </w:p>
    <w:p w14:paraId="24A1E62E" w14:textId="6790EAA3" w:rsidR="00730275" w:rsidRDefault="00730275" w:rsidP="00730275">
      <w:pPr>
        <w:pStyle w:val="Caption"/>
        <w:jc w:val="center"/>
        <w:rPr>
          <w:rFonts w:eastAsia="MS Mincho"/>
        </w:rPr>
      </w:pPr>
      <w:bookmarkStart w:id="16" w:name="_Ref506295848"/>
      <w:r>
        <w:t xml:space="preserve">Figure </w:t>
      </w:r>
      <w:r w:rsidR="00B97096">
        <w:fldChar w:fldCharType="begin"/>
      </w:r>
      <w:r w:rsidR="00B97096">
        <w:instrText xml:space="preserve"> SEQ Figure \* ARABIC </w:instrText>
      </w:r>
      <w:r w:rsidR="00B97096">
        <w:fldChar w:fldCharType="separate"/>
      </w:r>
      <w:r w:rsidR="00E2033D">
        <w:rPr>
          <w:noProof/>
        </w:rPr>
        <w:t>3</w:t>
      </w:r>
      <w:r w:rsidR="00B97096">
        <w:rPr>
          <w:noProof/>
        </w:rPr>
        <w:fldChar w:fldCharType="end"/>
      </w:r>
      <w:bookmarkEnd w:id="16"/>
      <w:r>
        <w:t>: MSS prior to every PTW</w:t>
      </w:r>
    </w:p>
    <w:p w14:paraId="5C77FF9C" w14:textId="77777777" w:rsidR="00B978A2" w:rsidRDefault="00B978A2" w:rsidP="00004F5F">
      <w:pPr>
        <w:rPr>
          <w:rFonts w:eastAsia="MS Mincho"/>
        </w:rPr>
      </w:pPr>
    </w:p>
    <w:p w14:paraId="0295D965" w14:textId="5348D7EF" w:rsidR="00B978A2" w:rsidRPr="00B978A2" w:rsidRDefault="00B978A2" w:rsidP="00004F5F">
      <w:pPr>
        <w:rPr>
          <w:rFonts w:eastAsia="MS Mincho"/>
          <w:b/>
        </w:rPr>
      </w:pPr>
      <w:r w:rsidRPr="00B978A2">
        <w:rPr>
          <w:rFonts w:eastAsia="MS Mincho"/>
          <w:b/>
        </w:rPr>
        <w:t>Proposal 4: For eDRX, an MSS is placed prior to the WUS addressing the 1</w:t>
      </w:r>
      <w:r w:rsidRPr="00B978A2">
        <w:rPr>
          <w:rFonts w:eastAsia="MS Mincho"/>
          <w:b/>
          <w:vertAlign w:val="superscript"/>
        </w:rPr>
        <w:t>st</w:t>
      </w:r>
      <w:r w:rsidRPr="00B978A2">
        <w:rPr>
          <w:rFonts w:eastAsia="MS Mincho"/>
          <w:b/>
        </w:rPr>
        <w:t xml:space="preserve"> PO in a PTW.</w:t>
      </w:r>
    </w:p>
    <w:p w14:paraId="49C1A360" w14:textId="77777777" w:rsidR="00B978A2" w:rsidRDefault="00B978A2" w:rsidP="00004F5F">
      <w:pPr>
        <w:rPr>
          <w:rFonts w:eastAsia="MS Mincho"/>
        </w:rPr>
      </w:pPr>
    </w:p>
    <w:p w14:paraId="75C3110A" w14:textId="363EA5D2" w:rsidR="008A0F06" w:rsidRDefault="008A0F06" w:rsidP="008A0F06">
      <w:pPr>
        <w:pStyle w:val="Heading2"/>
        <w:numPr>
          <w:ilvl w:val="1"/>
          <w:numId w:val="9"/>
        </w:numPr>
        <w:rPr>
          <w:rFonts w:eastAsia="MS Mincho"/>
        </w:rPr>
      </w:pPr>
      <w:r>
        <w:rPr>
          <w:rFonts w:eastAsia="MS Mincho"/>
        </w:rPr>
        <w:lastRenderedPageBreak/>
        <w:t>WUS Search Space</w:t>
      </w:r>
    </w:p>
    <w:p w14:paraId="11F8FDBB" w14:textId="0029ACDB" w:rsidR="00004F5F" w:rsidRDefault="00B978A2" w:rsidP="00004F5F">
      <w:pPr>
        <w:rPr>
          <w:rFonts w:eastAsia="MS Mincho"/>
        </w:rPr>
      </w:pPr>
      <w:r>
        <w:rPr>
          <w:rFonts w:eastAsia="MS Mincho"/>
        </w:rPr>
        <w:t xml:space="preserve">A WUS search space is proposed in [5] </w:t>
      </w:r>
      <w:r w:rsidR="00974355">
        <w:rPr>
          <w:rFonts w:eastAsia="MS Mincho"/>
        </w:rPr>
        <w:t xml:space="preserve">as shown in </w:t>
      </w:r>
      <w:r w:rsidR="00974355">
        <w:rPr>
          <w:rFonts w:eastAsia="MS Mincho"/>
        </w:rPr>
        <w:fldChar w:fldCharType="begin"/>
      </w:r>
      <w:r w:rsidR="00974355">
        <w:rPr>
          <w:rFonts w:eastAsia="MS Mincho"/>
        </w:rPr>
        <w:instrText xml:space="preserve"> REF _Ref506296460 \h </w:instrText>
      </w:r>
      <w:r w:rsidR="00974355">
        <w:rPr>
          <w:rFonts w:eastAsia="MS Mincho"/>
        </w:rPr>
      </w:r>
      <w:r w:rsidR="00974355">
        <w:rPr>
          <w:rFonts w:eastAsia="MS Mincho"/>
        </w:rPr>
        <w:fldChar w:fldCharType="separate"/>
      </w:r>
      <w:r w:rsidR="00974355">
        <w:t xml:space="preserve">Figure </w:t>
      </w:r>
      <w:r w:rsidR="00974355">
        <w:rPr>
          <w:noProof/>
        </w:rPr>
        <w:t>4</w:t>
      </w:r>
      <w:r w:rsidR="00974355">
        <w:rPr>
          <w:rFonts w:eastAsia="MS Mincho"/>
        </w:rPr>
        <w:fldChar w:fldCharType="end"/>
      </w:r>
      <w:r w:rsidR="00974355">
        <w:rPr>
          <w:rFonts w:eastAsia="MS Mincho"/>
        </w:rPr>
        <w:t xml:space="preserve">, </w:t>
      </w:r>
      <w:r>
        <w:rPr>
          <w:rFonts w:eastAsia="MS Mincho"/>
        </w:rPr>
        <w:t xml:space="preserve">where </w:t>
      </w:r>
      <w:r w:rsidR="00974355">
        <w:rPr>
          <w:rFonts w:eastAsia="MS Mincho"/>
        </w:rPr>
        <w:t xml:space="preserve">the eNB configures a maximum WUS repetition </w:t>
      </w:r>
      <w:r w:rsidR="00974355" w:rsidRPr="00974355">
        <w:rPr>
          <w:rFonts w:eastAsia="MS Mincho"/>
          <w:i/>
        </w:rPr>
        <w:t>R</w:t>
      </w:r>
      <w:r w:rsidR="00974355" w:rsidRPr="00974355">
        <w:rPr>
          <w:rFonts w:eastAsia="MS Mincho"/>
          <w:i/>
          <w:vertAlign w:val="subscript"/>
        </w:rPr>
        <w:t>W-max</w:t>
      </w:r>
      <w:r w:rsidR="00C704F7">
        <w:rPr>
          <w:rFonts w:eastAsia="MS Mincho"/>
        </w:rPr>
        <w:t>.  T</w:t>
      </w:r>
      <w:r w:rsidR="00974355">
        <w:rPr>
          <w:rFonts w:eastAsia="MS Mincho"/>
        </w:rPr>
        <w:t>he WUS is transmitted using one of the repetitions (WUS candidates) in the search space</w:t>
      </w:r>
      <w:r w:rsidR="00C704F7">
        <w:rPr>
          <w:rFonts w:eastAsia="MS Mincho"/>
        </w:rPr>
        <w:t xml:space="preserve"> and t</w:t>
      </w:r>
      <w:r w:rsidR="00974355">
        <w:rPr>
          <w:rFonts w:eastAsia="MS Mincho"/>
        </w:rPr>
        <w:t xml:space="preserve">he UE needs to blind decode for the WUS.  Let </w:t>
      </w:r>
      <w:r w:rsidR="00974355">
        <w:rPr>
          <w:rFonts w:eastAsia="MS Mincho"/>
        </w:rPr>
        <w:sym w:font="Symbol" w:char="F044"/>
      </w:r>
      <w:r w:rsidR="00974355" w:rsidRPr="00974355">
        <w:rPr>
          <w:rFonts w:eastAsia="MS Mincho"/>
          <w:i/>
        </w:rPr>
        <w:t>R</w:t>
      </w:r>
      <w:r w:rsidR="00974355" w:rsidRPr="00974355">
        <w:rPr>
          <w:rFonts w:eastAsia="MS Mincho"/>
          <w:i/>
          <w:vertAlign w:val="subscript"/>
        </w:rPr>
        <w:t>W</w:t>
      </w:r>
      <w:r w:rsidR="00974355">
        <w:rPr>
          <w:rFonts w:eastAsia="MS Mincho"/>
        </w:rPr>
        <w:t xml:space="preserve"> be the gap between the start of the WUS search space, at time </w:t>
      </w:r>
      <w:r w:rsidR="00974355" w:rsidRPr="00974355">
        <w:rPr>
          <w:rFonts w:eastAsia="MS Mincho"/>
          <w:i/>
        </w:rPr>
        <w:t>t</w:t>
      </w:r>
      <w:r w:rsidR="00974355" w:rsidRPr="00974355">
        <w:rPr>
          <w:rFonts w:eastAsia="MS Mincho"/>
          <w:vertAlign w:val="subscript"/>
        </w:rPr>
        <w:t>0</w:t>
      </w:r>
      <w:r w:rsidR="00974355">
        <w:rPr>
          <w:rFonts w:eastAsia="MS Mincho"/>
        </w:rPr>
        <w:t xml:space="preserve"> in </w:t>
      </w:r>
      <w:r w:rsidR="00974355">
        <w:rPr>
          <w:rFonts w:eastAsia="MS Mincho"/>
        </w:rPr>
        <w:fldChar w:fldCharType="begin"/>
      </w:r>
      <w:r w:rsidR="00974355">
        <w:rPr>
          <w:rFonts w:eastAsia="MS Mincho"/>
        </w:rPr>
        <w:instrText xml:space="preserve"> REF _Ref506296460 \h </w:instrText>
      </w:r>
      <w:r w:rsidR="00974355">
        <w:rPr>
          <w:rFonts w:eastAsia="MS Mincho"/>
        </w:rPr>
      </w:r>
      <w:r w:rsidR="00974355">
        <w:rPr>
          <w:rFonts w:eastAsia="MS Mincho"/>
        </w:rPr>
        <w:fldChar w:fldCharType="separate"/>
      </w:r>
      <w:r w:rsidR="00974355">
        <w:t xml:space="preserve">Figure </w:t>
      </w:r>
      <w:r w:rsidR="00974355">
        <w:rPr>
          <w:noProof/>
        </w:rPr>
        <w:t>4</w:t>
      </w:r>
      <w:r w:rsidR="00974355">
        <w:rPr>
          <w:rFonts w:eastAsia="MS Mincho"/>
        </w:rPr>
        <w:fldChar w:fldCharType="end"/>
      </w:r>
      <w:r w:rsidR="00974355">
        <w:rPr>
          <w:rFonts w:eastAsia="MS Mincho"/>
        </w:rPr>
        <w:t xml:space="preserve"> and the start of the actual WUS transmission.  Maintaining a false alarm </w:t>
      </w:r>
      <w:r w:rsidR="00AD1DB5">
        <w:rPr>
          <w:rFonts w:eastAsia="MS Mincho"/>
        </w:rPr>
        <w:t xml:space="preserve">rate </w:t>
      </w:r>
      <w:r w:rsidR="00974355">
        <w:rPr>
          <w:rFonts w:eastAsia="MS Mincho"/>
        </w:rPr>
        <w:t xml:space="preserve">of less than 10%, the miss detection rate as a function of </w:t>
      </w:r>
      <w:r w:rsidR="00974355">
        <w:rPr>
          <w:rFonts w:eastAsia="MS Mincho"/>
        </w:rPr>
        <w:sym w:font="Symbol" w:char="F044"/>
      </w:r>
      <w:r w:rsidR="00974355" w:rsidRPr="00974355">
        <w:rPr>
          <w:rFonts w:eastAsia="MS Mincho"/>
          <w:i/>
        </w:rPr>
        <w:t>R</w:t>
      </w:r>
      <w:r w:rsidR="00974355" w:rsidRPr="00974355">
        <w:rPr>
          <w:rFonts w:eastAsia="MS Mincho"/>
          <w:i/>
          <w:vertAlign w:val="subscript"/>
        </w:rPr>
        <w:t>W</w:t>
      </w:r>
      <w:r w:rsidR="00974355">
        <w:rPr>
          <w:rFonts w:eastAsia="MS Mincho"/>
        </w:rPr>
        <w:t xml:space="preserve"> is plotted in </w:t>
      </w:r>
      <w:r w:rsidR="00AD1DB5">
        <w:rPr>
          <w:rFonts w:eastAsia="MS Mincho"/>
        </w:rPr>
        <w:fldChar w:fldCharType="begin"/>
      </w:r>
      <w:r w:rsidR="00AD1DB5">
        <w:rPr>
          <w:rFonts w:eastAsia="MS Mincho"/>
        </w:rPr>
        <w:instrText xml:space="preserve"> REF _Ref506304442 \h </w:instrText>
      </w:r>
      <w:r w:rsidR="00AD1DB5">
        <w:rPr>
          <w:rFonts w:eastAsia="MS Mincho"/>
        </w:rPr>
      </w:r>
      <w:r w:rsidR="00AD1DB5">
        <w:rPr>
          <w:rFonts w:eastAsia="MS Mincho"/>
        </w:rPr>
        <w:fldChar w:fldCharType="separate"/>
      </w:r>
      <w:r w:rsidR="00AD1DB5">
        <w:t xml:space="preserve">Figure </w:t>
      </w:r>
      <w:r w:rsidR="00AD1DB5">
        <w:rPr>
          <w:noProof/>
        </w:rPr>
        <w:t>5</w:t>
      </w:r>
      <w:r w:rsidR="00AD1DB5">
        <w:rPr>
          <w:rFonts w:eastAsia="MS Mincho"/>
        </w:rPr>
        <w:fldChar w:fldCharType="end"/>
      </w:r>
      <w:r w:rsidR="00AD1DB5">
        <w:rPr>
          <w:rFonts w:eastAsia="MS Mincho"/>
        </w:rPr>
        <w:t xml:space="preserve"> </w:t>
      </w:r>
      <w:r w:rsidR="00974355">
        <w:rPr>
          <w:rFonts w:eastAsia="MS Mincho"/>
        </w:rPr>
        <w:t xml:space="preserve">using the assumptions in [3].  </w:t>
      </w:r>
      <w:r w:rsidR="00C704F7">
        <w:rPr>
          <w:rFonts w:eastAsia="MS Mincho"/>
        </w:rPr>
        <w:t xml:space="preserve">It can be observed that the miss detection rates triples when </w:t>
      </w:r>
      <w:r w:rsidR="00C704F7">
        <w:rPr>
          <w:rFonts w:eastAsia="MS Mincho"/>
        </w:rPr>
        <w:sym w:font="Symbol" w:char="F044"/>
      </w:r>
      <w:r w:rsidR="00C704F7" w:rsidRPr="00974355">
        <w:rPr>
          <w:rFonts w:eastAsia="MS Mincho"/>
          <w:i/>
        </w:rPr>
        <w:t>R</w:t>
      </w:r>
      <w:r w:rsidR="00C704F7" w:rsidRPr="00974355">
        <w:rPr>
          <w:rFonts w:eastAsia="MS Mincho"/>
          <w:i/>
          <w:vertAlign w:val="subscript"/>
        </w:rPr>
        <w:t>W</w:t>
      </w:r>
      <w:r w:rsidR="00C704F7">
        <w:rPr>
          <w:rFonts w:eastAsia="MS Mincho"/>
        </w:rPr>
        <w:t xml:space="preserve"> is only 8 subframes, that is the detection performance of the WUS would degrade due to the need to blind decode for a WUS.  To maintain the detection performance (miss detection/false alarm) the WUS repetitions would need to be increased, which would also increase the energy consumption of the UE.</w:t>
      </w:r>
    </w:p>
    <w:p w14:paraId="4628B1BC" w14:textId="7EB12F50" w:rsidR="00974355" w:rsidRDefault="00974355" w:rsidP="00974355">
      <w:pPr>
        <w:jc w:val="center"/>
        <w:rPr>
          <w:rFonts w:eastAsia="MS Mincho"/>
        </w:rPr>
      </w:pPr>
      <w:r>
        <w:rPr>
          <w:rFonts w:eastAsia="MS Mincho"/>
          <w:noProof/>
          <w:lang w:eastAsia="en-GB"/>
        </w:rPr>
        <w:drawing>
          <wp:inline distT="0" distB="0" distL="0" distR="0" wp14:anchorId="3D720EED" wp14:editId="7D42973E">
            <wp:extent cx="3255645" cy="1816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55645" cy="1816735"/>
                    </a:xfrm>
                    <a:prstGeom prst="rect">
                      <a:avLst/>
                    </a:prstGeom>
                    <a:noFill/>
                  </pic:spPr>
                </pic:pic>
              </a:graphicData>
            </a:graphic>
          </wp:inline>
        </w:drawing>
      </w:r>
    </w:p>
    <w:p w14:paraId="6E7111C3" w14:textId="6674F4BB" w:rsidR="00974355" w:rsidRDefault="00974355" w:rsidP="00974355">
      <w:pPr>
        <w:pStyle w:val="Caption"/>
        <w:jc w:val="center"/>
      </w:pPr>
      <w:bookmarkStart w:id="17" w:name="_Ref506296460"/>
      <w:r>
        <w:t xml:space="preserve">Figure </w:t>
      </w:r>
      <w:r w:rsidR="00B97096">
        <w:fldChar w:fldCharType="begin"/>
      </w:r>
      <w:r w:rsidR="00B97096">
        <w:instrText xml:space="preserve"> SEQ Figure \* ARABIC </w:instrText>
      </w:r>
      <w:r w:rsidR="00B97096">
        <w:fldChar w:fldCharType="separate"/>
      </w:r>
      <w:r w:rsidR="00E2033D">
        <w:rPr>
          <w:noProof/>
        </w:rPr>
        <w:t>4</w:t>
      </w:r>
      <w:r w:rsidR="00B97096">
        <w:rPr>
          <w:noProof/>
        </w:rPr>
        <w:fldChar w:fldCharType="end"/>
      </w:r>
      <w:bookmarkEnd w:id="17"/>
      <w:r>
        <w:t>: WUS search space</w:t>
      </w:r>
    </w:p>
    <w:p w14:paraId="50780552" w14:textId="77777777" w:rsidR="00C704F7" w:rsidRPr="00C704F7" w:rsidRDefault="00C704F7" w:rsidP="00C704F7"/>
    <w:p w14:paraId="38A510CC" w14:textId="28DC1A85" w:rsidR="00004F5F" w:rsidRDefault="00C704F7" w:rsidP="00C704F7">
      <w:pPr>
        <w:jc w:val="center"/>
        <w:rPr>
          <w:rFonts w:eastAsia="MS Mincho"/>
        </w:rPr>
      </w:pPr>
      <w:r>
        <w:rPr>
          <w:rFonts w:eastAsia="MS Mincho"/>
          <w:noProof/>
          <w:lang w:eastAsia="en-GB"/>
        </w:rPr>
        <w:drawing>
          <wp:inline distT="0" distB="0" distL="0" distR="0" wp14:anchorId="5A24626B" wp14:editId="385ED347">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EF21DFC" w14:textId="71D040B8" w:rsidR="00C704F7" w:rsidRDefault="00C704F7" w:rsidP="00C704F7">
      <w:pPr>
        <w:pStyle w:val="Caption"/>
        <w:jc w:val="center"/>
        <w:rPr>
          <w:rFonts w:eastAsia="MS Mincho"/>
        </w:rPr>
      </w:pPr>
      <w:bookmarkStart w:id="18" w:name="_Ref506304442"/>
      <w:r>
        <w:t xml:space="preserve">Figure </w:t>
      </w:r>
      <w:r w:rsidR="00B97096">
        <w:fldChar w:fldCharType="begin"/>
      </w:r>
      <w:r w:rsidR="00B97096">
        <w:instrText xml:space="preserve"> SEQ Figure \* ARABIC </w:instrText>
      </w:r>
      <w:r w:rsidR="00B97096">
        <w:fldChar w:fldCharType="separate"/>
      </w:r>
      <w:r w:rsidR="00E2033D">
        <w:rPr>
          <w:noProof/>
        </w:rPr>
        <w:t>5</w:t>
      </w:r>
      <w:r w:rsidR="00B97096">
        <w:rPr>
          <w:noProof/>
        </w:rPr>
        <w:fldChar w:fldCharType="end"/>
      </w:r>
      <w:bookmarkEnd w:id="18"/>
      <w:r>
        <w:t xml:space="preserve">: WUS miss detection rate vs </w:t>
      </w:r>
      <w:r>
        <w:rPr>
          <w:rFonts w:eastAsia="MS Mincho"/>
        </w:rPr>
        <w:sym w:font="Symbol" w:char="F044"/>
      </w:r>
      <w:r w:rsidRPr="00C704F7">
        <w:rPr>
          <w:i/>
        </w:rPr>
        <w:t>R</w:t>
      </w:r>
      <w:r w:rsidRPr="00C704F7">
        <w:rPr>
          <w:i/>
          <w:vertAlign w:val="subscript"/>
        </w:rPr>
        <w:t>W</w:t>
      </w:r>
    </w:p>
    <w:p w14:paraId="710A1570" w14:textId="77777777" w:rsidR="00004F5F" w:rsidRDefault="00004F5F" w:rsidP="00004F5F">
      <w:pPr>
        <w:rPr>
          <w:rFonts w:eastAsia="MS Mincho"/>
        </w:rPr>
      </w:pPr>
    </w:p>
    <w:p w14:paraId="4E397478" w14:textId="73E4FE27" w:rsidR="00BE7EC9" w:rsidRDefault="00C704F7" w:rsidP="00226014">
      <w:pPr>
        <w:rPr>
          <w:rFonts w:eastAsia="MS Mincho"/>
          <w:b/>
          <w:lang w:val="en-US"/>
        </w:rPr>
      </w:pPr>
      <w:r>
        <w:rPr>
          <w:rFonts w:eastAsia="MS Mincho"/>
          <w:b/>
          <w:lang w:val="en-US"/>
        </w:rPr>
        <w:t>Observation 4: WUS search space requiring blind detection of the WUS degrades the WUS detection performance.</w:t>
      </w:r>
    </w:p>
    <w:p w14:paraId="1C6C3C16" w14:textId="77777777" w:rsidR="008A0F06" w:rsidRDefault="008A0F06" w:rsidP="00226014">
      <w:pPr>
        <w:rPr>
          <w:rFonts w:eastAsia="MS Mincho"/>
          <w:b/>
          <w:lang w:val="en-US"/>
        </w:rPr>
      </w:pPr>
    </w:p>
    <w:p w14:paraId="7130B036" w14:textId="36186350" w:rsidR="00C704F7" w:rsidRDefault="008A0F06" w:rsidP="00226014">
      <w:pPr>
        <w:rPr>
          <w:rFonts w:eastAsia="MS Mincho"/>
          <w:lang w:val="en-US"/>
        </w:rPr>
      </w:pPr>
      <w:r>
        <w:rPr>
          <w:rFonts w:eastAsia="MS Mincho"/>
          <w:lang w:val="en-US"/>
        </w:rPr>
        <w:lastRenderedPageBreak/>
        <w:t>In [6] a two level WUS is proposed, where the 1</w:t>
      </w:r>
      <w:r w:rsidRPr="008A0F06">
        <w:rPr>
          <w:rFonts w:eastAsia="MS Mincho"/>
          <w:vertAlign w:val="superscript"/>
          <w:lang w:val="en-US"/>
        </w:rPr>
        <w:t>st</w:t>
      </w:r>
      <w:r>
        <w:rPr>
          <w:rFonts w:eastAsia="MS Mincho"/>
          <w:lang w:val="en-US"/>
        </w:rPr>
        <w:t xml:space="preserve"> level is a sync signal such as the MSS and the 2</w:t>
      </w:r>
      <w:r w:rsidRPr="008A0F06">
        <w:rPr>
          <w:rFonts w:eastAsia="MS Mincho"/>
          <w:vertAlign w:val="superscript"/>
          <w:lang w:val="en-US"/>
        </w:rPr>
        <w:t>nd</w:t>
      </w:r>
      <w:r>
        <w:rPr>
          <w:rFonts w:eastAsia="MS Mincho"/>
          <w:lang w:val="en-US"/>
        </w:rPr>
        <w:t xml:space="preserve"> level consists of several WUS’s and their corresponding PO’s.  This configuration is similar to that shown in </w:t>
      </w:r>
      <w:r>
        <w:rPr>
          <w:rFonts w:eastAsia="MS Mincho"/>
          <w:lang w:val="en-US"/>
        </w:rPr>
        <w:fldChar w:fldCharType="begin"/>
      </w:r>
      <w:r>
        <w:rPr>
          <w:rFonts w:eastAsia="MS Mincho"/>
          <w:lang w:val="en-US"/>
        </w:rPr>
        <w:instrText xml:space="preserve"> REF _Ref506295848 \h </w:instrText>
      </w:r>
      <w:r>
        <w:rPr>
          <w:rFonts w:eastAsia="MS Mincho"/>
          <w:lang w:val="en-US"/>
        </w:rPr>
      </w:r>
      <w:r>
        <w:rPr>
          <w:rFonts w:eastAsia="MS Mincho"/>
          <w:lang w:val="en-US"/>
        </w:rPr>
        <w:fldChar w:fldCharType="separate"/>
      </w:r>
      <w:r>
        <w:t xml:space="preserve">Figure </w:t>
      </w:r>
      <w:r>
        <w:rPr>
          <w:noProof/>
        </w:rPr>
        <w:t>3</w:t>
      </w:r>
      <w:r>
        <w:rPr>
          <w:rFonts w:eastAsia="MS Mincho"/>
          <w:lang w:val="en-US"/>
        </w:rPr>
        <w:fldChar w:fldCharType="end"/>
      </w:r>
      <w:r>
        <w:rPr>
          <w:rFonts w:eastAsia="MS Mincho"/>
          <w:lang w:val="en-US"/>
        </w:rPr>
        <w:t xml:space="preserve">.  In addition to </w:t>
      </w:r>
      <w:r w:rsidR="00AD1DB5">
        <w:rPr>
          <w:rFonts w:eastAsia="MS Mincho"/>
          <w:lang w:val="en-US"/>
        </w:rPr>
        <w:t>providing synchronisation</w:t>
      </w:r>
      <w:r>
        <w:rPr>
          <w:rFonts w:eastAsia="MS Mincho"/>
          <w:lang w:val="en-US"/>
        </w:rPr>
        <w:t>, the MSS can also provide additional information to aid the UE in detecting the WUS.  One beneficial indication is the repetition/candidate of the WUS in the WUS search space that the UE should monitor</w:t>
      </w:r>
      <w:r w:rsidR="00AE78B7">
        <w:rPr>
          <w:rFonts w:eastAsia="MS Mincho"/>
          <w:lang w:val="en-US"/>
        </w:rPr>
        <w:t xml:space="preserve">, that is, the indication in the MSS would reduce the number of candidates in the WUS search space and this would directly improve the detection performance of the WUS.  For example, for the WUS search space in </w:t>
      </w:r>
      <w:r w:rsidR="00AE78B7">
        <w:rPr>
          <w:rFonts w:eastAsia="MS Mincho"/>
          <w:lang w:val="en-US"/>
        </w:rPr>
        <w:fldChar w:fldCharType="begin"/>
      </w:r>
      <w:r w:rsidR="00AE78B7">
        <w:rPr>
          <w:rFonts w:eastAsia="MS Mincho"/>
          <w:lang w:val="en-US"/>
        </w:rPr>
        <w:instrText xml:space="preserve"> REF _Ref506296460 \h </w:instrText>
      </w:r>
      <w:r w:rsidR="00AE78B7">
        <w:rPr>
          <w:rFonts w:eastAsia="MS Mincho"/>
          <w:lang w:val="en-US"/>
        </w:rPr>
      </w:r>
      <w:r w:rsidR="00AE78B7">
        <w:rPr>
          <w:rFonts w:eastAsia="MS Mincho"/>
          <w:lang w:val="en-US"/>
        </w:rPr>
        <w:fldChar w:fldCharType="separate"/>
      </w:r>
      <w:r w:rsidR="00AE78B7">
        <w:t xml:space="preserve">Figure </w:t>
      </w:r>
      <w:r w:rsidR="00AE78B7">
        <w:rPr>
          <w:noProof/>
        </w:rPr>
        <w:t>4</w:t>
      </w:r>
      <w:r w:rsidR="00AE78B7">
        <w:rPr>
          <w:rFonts w:eastAsia="MS Mincho"/>
          <w:lang w:val="en-US"/>
        </w:rPr>
        <w:fldChar w:fldCharType="end"/>
      </w:r>
      <w:r w:rsidR="00AE78B7">
        <w:rPr>
          <w:rFonts w:eastAsia="MS Mincho"/>
          <w:lang w:val="en-US"/>
        </w:rPr>
        <w:t>, the MSS can indicate 2 of the 4 repetitions e.g. either {</w:t>
      </w:r>
      <w:r w:rsidR="00AE78B7" w:rsidRPr="00680A08">
        <w:rPr>
          <w:rFonts w:eastAsia="MS Mincho"/>
          <w:i/>
          <w:lang w:val="en-US"/>
        </w:rPr>
        <w:t>R</w:t>
      </w:r>
      <w:r w:rsidR="00AE78B7" w:rsidRPr="00680A08">
        <w:rPr>
          <w:rFonts w:eastAsia="MS Mincho"/>
          <w:i/>
          <w:vertAlign w:val="subscript"/>
          <w:lang w:val="en-US"/>
        </w:rPr>
        <w:t>W</w:t>
      </w:r>
      <w:r w:rsidR="00AE78B7" w:rsidRPr="00680A08">
        <w:rPr>
          <w:rFonts w:eastAsia="MS Mincho"/>
          <w:vertAlign w:val="subscript"/>
          <w:lang w:val="en-US"/>
        </w:rPr>
        <w:t>-1</w:t>
      </w:r>
      <w:r w:rsidR="00AE78B7">
        <w:rPr>
          <w:rFonts w:eastAsia="MS Mincho"/>
          <w:lang w:val="en-US"/>
        </w:rPr>
        <w:t xml:space="preserve">, </w:t>
      </w:r>
      <w:r w:rsidR="00AE78B7" w:rsidRPr="00680A08">
        <w:rPr>
          <w:rFonts w:eastAsia="MS Mincho"/>
          <w:i/>
          <w:lang w:val="en-US"/>
        </w:rPr>
        <w:t>R</w:t>
      </w:r>
      <w:r w:rsidR="00AE78B7" w:rsidRPr="00680A08">
        <w:rPr>
          <w:rFonts w:eastAsia="MS Mincho"/>
          <w:i/>
          <w:vertAlign w:val="subscript"/>
          <w:lang w:val="en-US"/>
        </w:rPr>
        <w:t>W</w:t>
      </w:r>
      <w:r w:rsidR="00AE78B7" w:rsidRPr="00680A08">
        <w:rPr>
          <w:rFonts w:eastAsia="MS Mincho"/>
          <w:vertAlign w:val="subscript"/>
          <w:lang w:val="en-US"/>
        </w:rPr>
        <w:t>-2</w:t>
      </w:r>
      <w:r w:rsidR="00AE78B7">
        <w:rPr>
          <w:rFonts w:eastAsia="MS Mincho"/>
          <w:lang w:val="en-US"/>
        </w:rPr>
        <w:t>} or {</w:t>
      </w:r>
      <w:r w:rsidR="00AE78B7" w:rsidRPr="00680A08">
        <w:rPr>
          <w:rFonts w:eastAsia="MS Mincho"/>
          <w:i/>
          <w:lang w:val="en-US"/>
        </w:rPr>
        <w:t>R</w:t>
      </w:r>
      <w:r w:rsidR="00AE78B7" w:rsidRPr="00680A08">
        <w:rPr>
          <w:rFonts w:eastAsia="MS Mincho"/>
          <w:i/>
          <w:vertAlign w:val="subscript"/>
          <w:lang w:val="en-US"/>
        </w:rPr>
        <w:t>W</w:t>
      </w:r>
      <w:r w:rsidR="00AE78B7" w:rsidRPr="00680A08">
        <w:rPr>
          <w:rFonts w:eastAsia="MS Mincho"/>
          <w:vertAlign w:val="subscript"/>
          <w:lang w:val="en-US"/>
        </w:rPr>
        <w:t>-3</w:t>
      </w:r>
      <w:r w:rsidR="00AE78B7">
        <w:rPr>
          <w:rFonts w:eastAsia="MS Mincho"/>
          <w:lang w:val="en-US"/>
        </w:rPr>
        <w:t xml:space="preserve">, </w:t>
      </w:r>
      <w:r w:rsidR="00AE78B7" w:rsidRPr="00680A08">
        <w:rPr>
          <w:rFonts w:eastAsia="MS Mincho"/>
          <w:i/>
          <w:lang w:val="en-US"/>
        </w:rPr>
        <w:t>R</w:t>
      </w:r>
      <w:r w:rsidR="00AE78B7" w:rsidRPr="00680A08">
        <w:rPr>
          <w:rFonts w:eastAsia="MS Mincho"/>
          <w:i/>
          <w:vertAlign w:val="subscript"/>
          <w:lang w:val="en-US"/>
        </w:rPr>
        <w:t>W-max</w:t>
      </w:r>
      <w:r w:rsidR="00AE78B7">
        <w:rPr>
          <w:rFonts w:eastAsia="MS Mincho"/>
          <w:lang w:val="en-US"/>
        </w:rPr>
        <w:t xml:space="preserve">} to the UE for monitoring of the WUS’s within the PTW. </w:t>
      </w:r>
    </w:p>
    <w:p w14:paraId="2CFA889D" w14:textId="60A6B7A5" w:rsidR="00AE78B7" w:rsidRDefault="00AE78B7" w:rsidP="00226014">
      <w:pPr>
        <w:rPr>
          <w:rFonts w:eastAsia="MS Mincho"/>
          <w:b/>
          <w:lang w:val="en-US"/>
        </w:rPr>
      </w:pPr>
      <w:r w:rsidRPr="00AE78B7">
        <w:rPr>
          <w:rFonts w:eastAsia="MS Mincho"/>
          <w:b/>
          <w:lang w:val="en-US"/>
        </w:rPr>
        <w:t xml:space="preserve">Proposal 5: If a WUS search space is specified, the MSS </w:t>
      </w:r>
      <w:r w:rsidR="00FE45D7">
        <w:rPr>
          <w:rFonts w:eastAsia="MS Mincho"/>
          <w:b/>
          <w:lang w:val="en-US"/>
        </w:rPr>
        <w:t xml:space="preserve">is used </w:t>
      </w:r>
      <w:r w:rsidRPr="00AE78B7">
        <w:rPr>
          <w:rFonts w:eastAsia="MS Mincho"/>
          <w:b/>
          <w:lang w:val="en-US"/>
        </w:rPr>
        <w:t xml:space="preserve">to indicate the WUS repetition(s) for </w:t>
      </w:r>
      <w:r w:rsidRPr="00AE78B7">
        <w:rPr>
          <w:rFonts w:eastAsia="MS Mincho"/>
          <w:b/>
          <w:i/>
          <w:lang w:val="en-US"/>
        </w:rPr>
        <w:t>N</w:t>
      </w:r>
      <w:r w:rsidRPr="00AE78B7">
        <w:rPr>
          <w:rFonts w:eastAsia="MS Mincho"/>
          <w:b/>
          <w:lang w:val="en-US"/>
        </w:rPr>
        <w:t xml:space="preserve"> subsequent WUS search spaces after the MSS.</w:t>
      </w:r>
    </w:p>
    <w:p w14:paraId="31F111B6" w14:textId="77777777" w:rsidR="00F13947" w:rsidRPr="00AE78B7" w:rsidRDefault="00F13947" w:rsidP="00226014">
      <w:pPr>
        <w:rPr>
          <w:rFonts w:eastAsia="MS Mincho"/>
          <w:b/>
          <w:lang w:val="en-US"/>
        </w:rPr>
      </w:pPr>
    </w:p>
    <w:p w14:paraId="05D734B7" w14:textId="7857F891" w:rsidR="00F13947" w:rsidRDefault="00F13947" w:rsidP="00F13947">
      <w:pPr>
        <w:pStyle w:val="Heading2"/>
        <w:numPr>
          <w:ilvl w:val="1"/>
          <w:numId w:val="9"/>
        </w:numPr>
        <w:rPr>
          <w:rFonts w:eastAsia="MS Mincho"/>
        </w:rPr>
      </w:pPr>
      <w:r>
        <w:rPr>
          <w:rFonts w:eastAsia="MS Mincho"/>
        </w:rPr>
        <w:t>Diversity Schemes</w:t>
      </w:r>
    </w:p>
    <w:p w14:paraId="607DA994" w14:textId="39D0A224" w:rsidR="00F13947" w:rsidRDefault="00F13947" w:rsidP="00F13947">
      <w:pPr>
        <w:rPr>
          <w:rFonts w:eastAsia="MS Mincho"/>
        </w:rPr>
      </w:pPr>
      <w:r>
        <w:rPr>
          <w:rFonts w:eastAsia="MS Mincho"/>
        </w:rPr>
        <w:t>In the evaluation in [2], a subframe level switch</w:t>
      </w:r>
      <w:r w:rsidR="00AD1DB5">
        <w:rPr>
          <w:rFonts w:eastAsia="MS Mincho"/>
        </w:rPr>
        <w:t>ed</w:t>
      </w:r>
      <w:r>
        <w:rPr>
          <w:rFonts w:eastAsia="MS Mincho"/>
        </w:rPr>
        <w:t xml:space="preserve"> transmit diversity is used, which was beneficial in reducing the number of repetitions especially for WUS repetitions extending beyond a subframe.  We are therefore supportive of the use of transmit diversity in WUS.</w:t>
      </w:r>
    </w:p>
    <w:p w14:paraId="32F705CC" w14:textId="1177E8B9" w:rsidR="00C704F7" w:rsidRDefault="00F13947" w:rsidP="00F13947">
      <w:pPr>
        <w:rPr>
          <w:rFonts w:eastAsia="MS Mincho"/>
        </w:rPr>
      </w:pPr>
      <w:r>
        <w:rPr>
          <w:rFonts w:eastAsia="MS Mincho"/>
        </w:rPr>
        <w:t xml:space="preserve">In addition to transmit diversity, frequency diversity can also be used to reduce the WUS repetitions and hence reduce the energy consumption of the UE in detecting the WUS.  If MSS is used with WUS then the UE is expected to be in sync with the network and </w:t>
      </w:r>
      <w:r w:rsidR="00E2033D">
        <w:rPr>
          <w:rFonts w:eastAsia="MS Mincho"/>
        </w:rPr>
        <w:t xml:space="preserve">there isn’t any issue with time drifts in using frequency diversity.  If MSS is not used with WUS and the UE experiences time drifts, an overlapping frequency hopping </w:t>
      </w:r>
      <w:r w:rsidR="00AD1DB5">
        <w:rPr>
          <w:rFonts w:eastAsia="MS Mincho"/>
        </w:rPr>
        <w:t xml:space="preserve">arrangement </w:t>
      </w:r>
      <w:r w:rsidR="00E2033D">
        <w:rPr>
          <w:rFonts w:eastAsia="MS Mincho"/>
        </w:rPr>
        <w:t xml:space="preserve">described for MSS in [4] can be used.  This scheme is shown in </w:t>
      </w:r>
      <w:r w:rsidR="00E2033D">
        <w:rPr>
          <w:rFonts w:eastAsia="MS Mincho"/>
        </w:rPr>
        <w:fldChar w:fldCharType="begin"/>
      </w:r>
      <w:r w:rsidR="00E2033D">
        <w:rPr>
          <w:rFonts w:eastAsia="MS Mincho"/>
        </w:rPr>
        <w:instrText xml:space="preserve"> REF _Ref506299792 \h </w:instrText>
      </w:r>
      <w:r w:rsidR="00E2033D">
        <w:rPr>
          <w:rFonts w:eastAsia="MS Mincho"/>
        </w:rPr>
      </w:r>
      <w:r w:rsidR="00E2033D">
        <w:rPr>
          <w:rFonts w:eastAsia="MS Mincho"/>
        </w:rPr>
        <w:fldChar w:fldCharType="separate"/>
      </w:r>
      <w:r w:rsidR="00E2033D">
        <w:t xml:space="preserve">Figure </w:t>
      </w:r>
      <w:r w:rsidR="00E2033D">
        <w:rPr>
          <w:noProof/>
        </w:rPr>
        <w:t>6</w:t>
      </w:r>
      <w:r w:rsidR="00E2033D">
        <w:rPr>
          <w:rFonts w:eastAsia="MS Mincho"/>
        </w:rPr>
        <w:fldChar w:fldCharType="end"/>
      </w:r>
      <w:r w:rsidR="00E2033D">
        <w:rPr>
          <w:rFonts w:eastAsia="MS Mincho"/>
        </w:rPr>
        <w:t xml:space="preserve">, where the frequency hopping period is </w:t>
      </w:r>
      <w:r w:rsidR="00E2033D" w:rsidRPr="00E2033D">
        <w:rPr>
          <w:rFonts w:eastAsia="MS Mincho"/>
          <w:i/>
        </w:rPr>
        <w:t>T</w:t>
      </w:r>
      <w:r w:rsidR="00E2033D" w:rsidRPr="00E2033D">
        <w:rPr>
          <w:rFonts w:eastAsia="MS Mincho"/>
          <w:i/>
          <w:vertAlign w:val="subscript"/>
        </w:rPr>
        <w:t>FH</w:t>
      </w:r>
      <w:r w:rsidR="00E2033D">
        <w:rPr>
          <w:rFonts w:eastAsia="MS Mincho"/>
        </w:rPr>
        <w:t xml:space="preserve"> and there is an overlap between two hops of </w:t>
      </w:r>
      <w:r w:rsidR="00E2033D" w:rsidRPr="00E2033D">
        <w:rPr>
          <w:rFonts w:eastAsia="MS Mincho"/>
          <w:i/>
        </w:rPr>
        <w:t>T</w:t>
      </w:r>
      <w:r w:rsidR="00E2033D" w:rsidRPr="00E2033D">
        <w:rPr>
          <w:rFonts w:eastAsia="MS Mincho"/>
          <w:i/>
          <w:vertAlign w:val="subscript"/>
        </w:rPr>
        <w:t>eDrift</w:t>
      </w:r>
      <w:r w:rsidR="00E2033D">
        <w:rPr>
          <w:rFonts w:eastAsia="MS Mincho"/>
        </w:rPr>
        <w:t xml:space="preserve"> (maximum expected time drift).  This overlap will ensure that </w:t>
      </w:r>
      <w:r w:rsidR="00AD1DB5">
        <w:rPr>
          <w:rFonts w:eastAsia="MS Mincho"/>
        </w:rPr>
        <w:t xml:space="preserve">a </w:t>
      </w:r>
      <w:r w:rsidR="00E2033D">
        <w:rPr>
          <w:rFonts w:eastAsia="MS Mincho"/>
        </w:rPr>
        <w:t xml:space="preserve">UE that has </w:t>
      </w:r>
      <w:r w:rsidR="00AD1DB5">
        <w:rPr>
          <w:rFonts w:eastAsia="MS Mincho"/>
        </w:rPr>
        <w:t xml:space="preserve">a </w:t>
      </w:r>
      <w:r w:rsidR="00E2033D">
        <w:rPr>
          <w:rFonts w:eastAsia="MS Mincho"/>
        </w:rPr>
        <w:t xml:space="preserve">time drift would see a WUS transmission when it switches frequency at every </w:t>
      </w:r>
      <w:r w:rsidR="00E2033D" w:rsidRPr="00E2033D">
        <w:rPr>
          <w:rFonts w:eastAsia="MS Mincho"/>
          <w:i/>
        </w:rPr>
        <w:t>T</w:t>
      </w:r>
      <w:r w:rsidR="00E2033D" w:rsidRPr="00E2033D">
        <w:rPr>
          <w:rFonts w:eastAsia="MS Mincho"/>
          <w:i/>
          <w:vertAlign w:val="subscript"/>
        </w:rPr>
        <w:t>FH</w:t>
      </w:r>
      <w:r w:rsidR="00E2033D">
        <w:rPr>
          <w:rFonts w:eastAsia="MS Mincho"/>
        </w:rPr>
        <w:t xml:space="preserve"> period.</w:t>
      </w:r>
    </w:p>
    <w:p w14:paraId="52924BFA" w14:textId="5B049227" w:rsidR="00E2033D" w:rsidRDefault="00E2033D" w:rsidP="00E2033D">
      <w:pPr>
        <w:jc w:val="center"/>
        <w:rPr>
          <w:rFonts w:eastAsia="MS Mincho"/>
          <w:b/>
          <w:lang w:val="en-US"/>
        </w:rPr>
      </w:pPr>
      <w:r>
        <w:rPr>
          <w:rFonts w:eastAsia="MS Mincho"/>
          <w:b/>
          <w:noProof/>
          <w:lang w:eastAsia="en-GB"/>
        </w:rPr>
        <w:drawing>
          <wp:inline distT="0" distB="0" distL="0" distR="0" wp14:anchorId="3DA26347" wp14:editId="124E2595">
            <wp:extent cx="4304030" cy="1828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04030" cy="1828800"/>
                    </a:xfrm>
                    <a:prstGeom prst="rect">
                      <a:avLst/>
                    </a:prstGeom>
                    <a:noFill/>
                  </pic:spPr>
                </pic:pic>
              </a:graphicData>
            </a:graphic>
          </wp:inline>
        </w:drawing>
      </w:r>
    </w:p>
    <w:p w14:paraId="50D20201" w14:textId="65D70250" w:rsidR="00E2033D" w:rsidRDefault="00E2033D" w:rsidP="00E2033D">
      <w:pPr>
        <w:pStyle w:val="Caption"/>
        <w:jc w:val="center"/>
        <w:rPr>
          <w:rFonts w:eastAsia="MS Mincho"/>
          <w:b w:val="0"/>
          <w:lang w:val="en-US"/>
        </w:rPr>
      </w:pPr>
      <w:bookmarkStart w:id="19" w:name="_Ref506299792"/>
      <w:r>
        <w:t xml:space="preserve">Figure </w:t>
      </w:r>
      <w:r w:rsidR="00B97096">
        <w:fldChar w:fldCharType="begin"/>
      </w:r>
      <w:r w:rsidR="00B97096">
        <w:instrText xml:space="preserve"> SEQ Figure \* ARABIC </w:instrText>
      </w:r>
      <w:r w:rsidR="00B97096">
        <w:fldChar w:fldCharType="separate"/>
      </w:r>
      <w:r>
        <w:rPr>
          <w:noProof/>
        </w:rPr>
        <w:t>6</w:t>
      </w:r>
      <w:r w:rsidR="00B97096">
        <w:rPr>
          <w:noProof/>
        </w:rPr>
        <w:fldChar w:fldCharType="end"/>
      </w:r>
      <w:bookmarkEnd w:id="19"/>
      <w:r>
        <w:t>: Frequency hopping with overlaps</w:t>
      </w:r>
    </w:p>
    <w:p w14:paraId="0E6F5492" w14:textId="77777777" w:rsidR="00AE78B7" w:rsidRDefault="00AE78B7" w:rsidP="00226014">
      <w:pPr>
        <w:rPr>
          <w:rFonts w:eastAsia="MS Mincho"/>
          <w:b/>
          <w:lang w:val="en-US"/>
        </w:rPr>
      </w:pPr>
    </w:p>
    <w:p w14:paraId="5967D7E1" w14:textId="448FFFB0" w:rsidR="00E2033D" w:rsidRPr="00BE7EC9" w:rsidRDefault="00E2033D" w:rsidP="00226014">
      <w:pPr>
        <w:rPr>
          <w:rFonts w:eastAsia="MS Mincho"/>
          <w:b/>
          <w:lang w:val="en-US"/>
        </w:rPr>
      </w:pPr>
      <w:bookmarkStart w:id="20" w:name="_GoBack"/>
      <w:r>
        <w:rPr>
          <w:rFonts w:eastAsia="MS Mincho"/>
          <w:b/>
          <w:lang w:val="en-US"/>
        </w:rPr>
        <w:t>Proposal 6: Support Transmit Diversity and Frequency Hopping for WUS.</w:t>
      </w:r>
    </w:p>
    <w:bookmarkEnd w:id="20"/>
    <w:p w14:paraId="0C19E3A0" w14:textId="77777777" w:rsidR="00CD6480" w:rsidRPr="006E36E6" w:rsidRDefault="00CD6480" w:rsidP="00226014">
      <w:pPr>
        <w:rPr>
          <w:rFonts w:eastAsia="MS Mincho"/>
          <w:lang w:val="en-US"/>
        </w:rPr>
      </w:pPr>
    </w:p>
    <w:p w14:paraId="7659EBED" w14:textId="77777777" w:rsidR="00226014" w:rsidRDefault="00226014" w:rsidP="00226014">
      <w:pPr>
        <w:pStyle w:val="Heading1"/>
        <w:numPr>
          <w:ilvl w:val="0"/>
          <w:numId w:val="9"/>
        </w:numPr>
      </w:pPr>
      <w:r>
        <w:t xml:space="preserve">  Conclusion</w:t>
      </w:r>
    </w:p>
    <w:p w14:paraId="72BCCA45" w14:textId="216C88D0" w:rsidR="00226014" w:rsidRDefault="00226014" w:rsidP="00226014">
      <w:pPr>
        <w:jc w:val="both"/>
        <w:rPr>
          <w:lang w:val="en-US"/>
        </w:rPr>
      </w:pPr>
      <w:r w:rsidRPr="004E6386">
        <w:rPr>
          <w:lang w:val="en-US"/>
        </w:rPr>
        <w:t xml:space="preserve">In this contribution we </w:t>
      </w:r>
      <w:r w:rsidR="00775C57">
        <w:rPr>
          <w:lang w:val="en-US"/>
        </w:rPr>
        <w:t>observe the following:</w:t>
      </w:r>
    </w:p>
    <w:p w14:paraId="238FB8C5" w14:textId="725C98A5" w:rsidR="00692CCB" w:rsidRDefault="00680A08" w:rsidP="00692CCB">
      <w:pPr>
        <w:rPr>
          <w:rFonts w:eastAsia="MS Mincho"/>
          <w:b/>
          <w:lang w:val="en-US"/>
        </w:rPr>
      </w:pPr>
      <w:r w:rsidRPr="00996C3E">
        <w:rPr>
          <w:b/>
          <w:lang w:val="en-US"/>
        </w:rPr>
        <w:lastRenderedPageBreak/>
        <w:t>Observation 1: Introducing a frequency shift in every even symbol and initializing the PN sequence can help mitigate inter-cell interference</w:t>
      </w:r>
      <w:r w:rsidR="00692CCB">
        <w:rPr>
          <w:rFonts w:eastAsia="MS Mincho"/>
          <w:b/>
          <w:lang w:val="en-US"/>
        </w:rPr>
        <w:t>.</w:t>
      </w:r>
    </w:p>
    <w:p w14:paraId="3E15C0C2" w14:textId="77777777" w:rsidR="00680A08" w:rsidRPr="00BA078E" w:rsidRDefault="00680A08" w:rsidP="00680A08">
      <w:pPr>
        <w:rPr>
          <w:rFonts w:eastAsia="MS Mincho"/>
          <w:b/>
          <w:lang w:val="en-US"/>
        </w:rPr>
      </w:pPr>
      <w:r w:rsidRPr="00BA078E">
        <w:rPr>
          <w:rFonts w:eastAsia="MS Mincho"/>
          <w:b/>
          <w:lang w:val="en-US"/>
        </w:rPr>
        <w:t xml:space="preserve">Observation 2: At 144 dB MCL, WUS with MSS for </w:t>
      </w:r>
      <w:r w:rsidRPr="00C105FC">
        <w:rPr>
          <w:rFonts w:eastAsia="MS Mincho"/>
          <w:b/>
          <w:i/>
          <w:lang w:val="en-US"/>
        </w:rPr>
        <w:t>T</w:t>
      </w:r>
      <w:r w:rsidRPr="00C105FC">
        <w:rPr>
          <w:rFonts w:eastAsia="MS Mincho"/>
          <w:b/>
          <w:i/>
          <w:vertAlign w:val="subscript"/>
          <w:lang w:val="en-US"/>
        </w:rPr>
        <w:t>MSS-WUS</w:t>
      </w:r>
      <w:r w:rsidRPr="00BA078E">
        <w:rPr>
          <w:rFonts w:eastAsia="MS Mincho"/>
          <w:b/>
          <w:lang w:val="en-US"/>
        </w:rPr>
        <w:t>&gt;0 waste</w:t>
      </w:r>
      <w:r>
        <w:rPr>
          <w:rFonts w:eastAsia="MS Mincho"/>
          <w:b/>
          <w:lang w:val="en-US"/>
        </w:rPr>
        <w:t>s</w:t>
      </w:r>
      <w:r w:rsidRPr="00BA078E">
        <w:rPr>
          <w:rFonts w:eastAsia="MS Mincho"/>
          <w:b/>
          <w:lang w:val="en-US"/>
        </w:rPr>
        <w:t xml:space="preserve"> more energy than that of the baseline.</w:t>
      </w:r>
    </w:p>
    <w:p w14:paraId="6390B382" w14:textId="77777777" w:rsidR="00680A08" w:rsidRPr="00191F27" w:rsidRDefault="00680A08" w:rsidP="00680A08">
      <w:pPr>
        <w:rPr>
          <w:rFonts w:eastAsia="MS Mincho"/>
          <w:b/>
        </w:rPr>
      </w:pPr>
      <w:r w:rsidRPr="00191F27">
        <w:rPr>
          <w:rFonts w:eastAsia="MS Mincho"/>
          <w:b/>
        </w:rPr>
        <w:t>Observation 3: Energy needed to ramp up and down from deep sleep to read the MSS leads to higher energy consumption compared to that in the WUS without MSS scenario.</w:t>
      </w:r>
    </w:p>
    <w:p w14:paraId="517A5AF9" w14:textId="77777777" w:rsidR="00680A08" w:rsidRDefault="00680A08" w:rsidP="00680A08">
      <w:pPr>
        <w:rPr>
          <w:rFonts w:eastAsia="MS Mincho"/>
          <w:b/>
          <w:lang w:val="en-US"/>
        </w:rPr>
      </w:pPr>
      <w:r>
        <w:rPr>
          <w:rFonts w:eastAsia="MS Mincho"/>
          <w:b/>
          <w:lang w:val="en-US"/>
        </w:rPr>
        <w:t>Observation 4: WUS search space requiring blind detection of the WUS degrades the WUS detection performance.</w:t>
      </w:r>
    </w:p>
    <w:p w14:paraId="40684315" w14:textId="77777777" w:rsidR="00FC5E22" w:rsidRPr="00B22AF1" w:rsidRDefault="00FC5E22" w:rsidP="00B22AF1">
      <w:pPr>
        <w:rPr>
          <w:rFonts w:eastAsia="MS Mincho"/>
          <w:b/>
          <w:lang w:val="en-US"/>
        </w:rPr>
      </w:pPr>
    </w:p>
    <w:p w14:paraId="05E93175" w14:textId="2A50927C" w:rsidR="00226014" w:rsidRDefault="00226014" w:rsidP="00226014">
      <w:pPr>
        <w:jc w:val="both"/>
        <w:rPr>
          <w:lang w:val="en-US"/>
        </w:rPr>
      </w:pPr>
      <w:r w:rsidRPr="004E6386">
        <w:rPr>
          <w:lang w:val="en-US"/>
        </w:rPr>
        <w:t>We therefore propose the following:</w:t>
      </w:r>
    </w:p>
    <w:p w14:paraId="78D4D377" w14:textId="77777777" w:rsidR="00680A08" w:rsidRPr="00996C3E" w:rsidRDefault="00680A08" w:rsidP="00680A08">
      <w:pPr>
        <w:rPr>
          <w:b/>
          <w:lang w:val="en-US"/>
        </w:rPr>
      </w:pPr>
      <w:r w:rsidRPr="00996C3E">
        <w:rPr>
          <w:b/>
          <w:lang w:val="en-US"/>
        </w:rPr>
        <w:t>Proposal 1: Use a ZC sequence of length 63 with a frequency shift at every even symbol</w:t>
      </w:r>
      <w:r>
        <w:rPr>
          <w:b/>
          <w:lang w:val="en-US"/>
        </w:rPr>
        <w:t>.</w:t>
      </w:r>
    </w:p>
    <w:p w14:paraId="64AA1F80" w14:textId="17C1813B" w:rsidR="00692CCB" w:rsidRPr="00BE7EC9" w:rsidRDefault="00680A08" w:rsidP="00680A08">
      <w:pPr>
        <w:rPr>
          <w:rFonts w:eastAsia="MS Mincho"/>
          <w:b/>
          <w:lang w:val="en-US"/>
        </w:rPr>
      </w:pPr>
      <w:r w:rsidRPr="00996C3E">
        <w:rPr>
          <w:b/>
          <w:lang w:val="en-US"/>
        </w:rPr>
        <w:t>Proposal 2: Use a PN sequence cover code, which is initialized t</w:t>
      </w:r>
      <w:r>
        <w:rPr>
          <w:b/>
          <w:lang w:val="en-US"/>
        </w:rPr>
        <w:t>o a different value for each pa</w:t>
      </w:r>
      <w:r w:rsidRPr="00996C3E">
        <w:rPr>
          <w:b/>
          <w:lang w:val="en-US"/>
        </w:rPr>
        <w:t>i</w:t>
      </w:r>
      <w:r>
        <w:rPr>
          <w:b/>
          <w:lang w:val="en-US"/>
        </w:rPr>
        <w:t>r</w:t>
      </w:r>
      <w:r w:rsidRPr="00996C3E">
        <w:rPr>
          <w:b/>
          <w:lang w:val="en-US"/>
        </w:rPr>
        <w:t xml:space="preserve"> of WUS symbols</w:t>
      </w:r>
      <w:r w:rsidR="00692CCB">
        <w:rPr>
          <w:rFonts w:eastAsia="MS Mincho"/>
          <w:b/>
          <w:lang w:val="en-US"/>
        </w:rPr>
        <w:t>.</w:t>
      </w:r>
    </w:p>
    <w:p w14:paraId="17C1E98E" w14:textId="374375E1" w:rsidR="00937D39" w:rsidRDefault="00680A08" w:rsidP="00937D39">
      <w:pPr>
        <w:rPr>
          <w:rFonts w:eastAsia="MS Mincho"/>
          <w:b/>
        </w:rPr>
      </w:pPr>
      <w:r w:rsidRPr="006E01CF">
        <w:rPr>
          <w:rFonts w:eastAsia="MS Mincho"/>
          <w:b/>
        </w:rPr>
        <w:t>Proposal 3: For WUS operation with MSS, the MSS is placed just prior to the WUS such that there is no delay between the end of the MSS and start of the WUS, thereby minimising the number of ramp up</w:t>
      </w:r>
      <w:r>
        <w:rPr>
          <w:rFonts w:eastAsia="MS Mincho"/>
          <w:b/>
        </w:rPr>
        <w:t>s</w:t>
      </w:r>
      <w:r w:rsidRPr="006E01CF">
        <w:rPr>
          <w:rFonts w:eastAsia="MS Mincho"/>
          <w:b/>
        </w:rPr>
        <w:t xml:space="preserve"> and down</w:t>
      </w:r>
      <w:r>
        <w:rPr>
          <w:rFonts w:eastAsia="MS Mincho"/>
          <w:b/>
        </w:rPr>
        <w:t>s</w:t>
      </w:r>
      <w:r w:rsidRPr="006E01CF">
        <w:rPr>
          <w:rFonts w:eastAsia="MS Mincho"/>
          <w:b/>
        </w:rPr>
        <w:t xml:space="preserve"> from deep sleep to read the MSS</w:t>
      </w:r>
      <w:r>
        <w:rPr>
          <w:rFonts w:eastAsia="MS Mincho"/>
          <w:b/>
        </w:rPr>
        <w:t>.</w:t>
      </w:r>
    </w:p>
    <w:p w14:paraId="4CFCF46F" w14:textId="77777777" w:rsidR="00680A08" w:rsidRPr="00B978A2" w:rsidRDefault="00680A08" w:rsidP="00680A08">
      <w:pPr>
        <w:rPr>
          <w:rFonts w:eastAsia="MS Mincho"/>
          <w:b/>
        </w:rPr>
      </w:pPr>
      <w:r w:rsidRPr="00B978A2">
        <w:rPr>
          <w:rFonts w:eastAsia="MS Mincho"/>
          <w:b/>
        </w:rPr>
        <w:t>Proposal 4: For eDRX, an MSS is placed prior to the WUS addressing the 1</w:t>
      </w:r>
      <w:r w:rsidRPr="00B978A2">
        <w:rPr>
          <w:rFonts w:eastAsia="MS Mincho"/>
          <w:b/>
          <w:vertAlign w:val="superscript"/>
        </w:rPr>
        <w:t>st</w:t>
      </w:r>
      <w:r w:rsidRPr="00B978A2">
        <w:rPr>
          <w:rFonts w:eastAsia="MS Mincho"/>
          <w:b/>
        </w:rPr>
        <w:t xml:space="preserve"> PO in a PTW.</w:t>
      </w:r>
    </w:p>
    <w:p w14:paraId="16A29DE5" w14:textId="77777777" w:rsidR="00680A08" w:rsidRDefault="00680A08" w:rsidP="00680A08">
      <w:pPr>
        <w:rPr>
          <w:rFonts w:eastAsia="MS Mincho"/>
          <w:b/>
          <w:lang w:val="en-US"/>
        </w:rPr>
      </w:pPr>
      <w:r w:rsidRPr="00AE78B7">
        <w:rPr>
          <w:rFonts w:eastAsia="MS Mincho"/>
          <w:b/>
          <w:lang w:val="en-US"/>
        </w:rPr>
        <w:t xml:space="preserve">Proposal 5: If a WUS search space is specified, the MSS </w:t>
      </w:r>
      <w:r>
        <w:rPr>
          <w:rFonts w:eastAsia="MS Mincho"/>
          <w:b/>
          <w:lang w:val="en-US"/>
        </w:rPr>
        <w:t xml:space="preserve">is used </w:t>
      </w:r>
      <w:r w:rsidRPr="00AE78B7">
        <w:rPr>
          <w:rFonts w:eastAsia="MS Mincho"/>
          <w:b/>
          <w:lang w:val="en-US"/>
        </w:rPr>
        <w:t xml:space="preserve">to indicate the WUS repetition(s) for </w:t>
      </w:r>
      <w:r w:rsidRPr="00AE78B7">
        <w:rPr>
          <w:rFonts w:eastAsia="MS Mincho"/>
          <w:b/>
          <w:i/>
          <w:lang w:val="en-US"/>
        </w:rPr>
        <w:t>N</w:t>
      </w:r>
      <w:r w:rsidRPr="00AE78B7">
        <w:rPr>
          <w:rFonts w:eastAsia="MS Mincho"/>
          <w:b/>
          <w:lang w:val="en-US"/>
        </w:rPr>
        <w:t xml:space="preserve"> subsequent WUS search spaces after the MSS.</w:t>
      </w:r>
    </w:p>
    <w:p w14:paraId="6D99DD15" w14:textId="77777777" w:rsidR="00680A08" w:rsidRPr="00BE7EC9" w:rsidRDefault="00680A08" w:rsidP="00680A08">
      <w:pPr>
        <w:rPr>
          <w:rFonts w:eastAsia="MS Mincho"/>
          <w:b/>
          <w:lang w:val="en-US"/>
        </w:rPr>
      </w:pPr>
      <w:r>
        <w:rPr>
          <w:rFonts w:eastAsia="MS Mincho"/>
          <w:b/>
          <w:lang w:val="en-US"/>
        </w:rPr>
        <w:t>Proposal 6: Support Transmit Diversity and Frequency Hopping for WUS.</w:t>
      </w:r>
    </w:p>
    <w:p w14:paraId="29842144" w14:textId="77777777" w:rsidR="00680A08" w:rsidRPr="00BE7EC9" w:rsidRDefault="00680A08" w:rsidP="00937D39">
      <w:pPr>
        <w:rPr>
          <w:rFonts w:eastAsia="MS Mincho"/>
          <w:b/>
          <w:lang w:val="en-US"/>
        </w:rPr>
      </w:pPr>
    </w:p>
    <w:p w14:paraId="531D7ED8" w14:textId="77777777" w:rsidR="00226014" w:rsidRDefault="00226014" w:rsidP="00226014">
      <w:pPr>
        <w:pStyle w:val="Heading1"/>
        <w:numPr>
          <w:ilvl w:val="0"/>
          <w:numId w:val="9"/>
        </w:numPr>
      </w:pPr>
      <w:r>
        <w:t>References</w:t>
      </w:r>
    </w:p>
    <w:p w14:paraId="28D23CAE" w14:textId="57AF3E9E" w:rsidR="00346573" w:rsidRDefault="00996C3E" w:rsidP="00346573">
      <w:r>
        <w:t>[1</w:t>
      </w:r>
      <w:r w:rsidR="00346573">
        <w:t>] R1-1712956, “</w:t>
      </w:r>
      <w:r w:rsidR="00346573" w:rsidRPr="00864C4C">
        <w:t>Wake up sign</w:t>
      </w:r>
      <w:r w:rsidR="00346573">
        <w:t xml:space="preserve">alling for efeMTC,” </w:t>
      </w:r>
      <w:r w:rsidR="00346573" w:rsidRPr="00142EA1">
        <w:t>Sony</w:t>
      </w:r>
      <w:r w:rsidR="00346573">
        <w:t>, RAN1#90</w:t>
      </w:r>
    </w:p>
    <w:p w14:paraId="24BAD935" w14:textId="334E3C92" w:rsidR="00996C3E" w:rsidRDefault="00996C3E" w:rsidP="00996C3E">
      <w:r>
        <w:t xml:space="preserve">[2] </w:t>
      </w:r>
      <w:r w:rsidRPr="008D6740">
        <w:t>R1-1720467</w:t>
      </w:r>
      <w:r>
        <w:t>, “</w:t>
      </w:r>
      <w:r w:rsidRPr="008D6740">
        <w:t>WUS evaluations for efeMTC</w:t>
      </w:r>
      <w:r>
        <w:t>,” Sony, RAN1#91</w:t>
      </w:r>
    </w:p>
    <w:p w14:paraId="2F94426D" w14:textId="5D9219F7" w:rsidR="00EF2CA2" w:rsidRDefault="007A3750" w:rsidP="00EF2CA2">
      <w:r>
        <w:t>[3</w:t>
      </w:r>
      <w:r w:rsidR="00EF2CA2">
        <w:t xml:space="preserve">] </w:t>
      </w:r>
      <w:r w:rsidR="00EF2CA2" w:rsidRPr="00864C4C">
        <w:t>R1-1714992</w:t>
      </w:r>
      <w:r w:rsidR="00EF2CA2">
        <w:t>, “</w:t>
      </w:r>
      <w:r w:rsidR="00EF2CA2" w:rsidRPr="00864C4C">
        <w:t>Assumptions for eMTC power consumption for power saving signal/channel</w:t>
      </w:r>
      <w:r w:rsidR="00EF2CA2">
        <w:t>,” Ericsson, RAN1#90</w:t>
      </w:r>
    </w:p>
    <w:p w14:paraId="34335667" w14:textId="5DB89C22" w:rsidR="00A66EDA" w:rsidRDefault="003E185B" w:rsidP="00EF2CA2">
      <w:r>
        <w:t xml:space="preserve">[4] </w:t>
      </w:r>
      <w:r w:rsidR="007714B8" w:rsidRPr="007714B8">
        <w:t>R1-1802054</w:t>
      </w:r>
      <w:r>
        <w:t>, “</w:t>
      </w:r>
      <w:r w:rsidRPr="003E185B">
        <w:t>Enhanced Synchronisation Signal for efeMTC</w:t>
      </w:r>
      <w:r>
        <w:t>,” Sony, RAN1#92</w:t>
      </w:r>
    </w:p>
    <w:p w14:paraId="308681CA" w14:textId="2B7AE8AA" w:rsidR="00A66EDA" w:rsidRDefault="00730275" w:rsidP="00EF2CA2">
      <w:r>
        <w:t xml:space="preserve">[5] </w:t>
      </w:r>
      <w:r w:rsidRPr="00730275">
        <w:t>R1-17193</w:t>
      </w:r>
      <w:r>
        <w:t>51, “</w:t>
      </w:r>
      <w:r w:rsidRPr="00730275">
        <w:t>Downlink c</w:t>
      </w:r>
      <w:r>
        <w:t xml:space="preserve">hannel power efficiency for MTC,” </w:t>
      </w:r>
      <w:r w:rsidRPr="00730275">
        <w:t>Ericsson</w:t>
      </w:r>
      <w:r>
        <w:t>, RAN1#91</w:t>
      </w:r>
    </w:p>
    <w:p w14:paraId="253C9D3F" w14:textId="6DB3123A" w:rsidR="00730275" w:rsidRDefault="008A0F06" w:rsidP="00EF2CA2">
      <w:r>
        <w:t xml:space="preserve">[6] </w:t>
      </w:r>
      <w:r w:rsidRPr="008A0F06">
        <w:t>R1-1721155</w:t>
      </w:r>
      <w:r>
        <w:t>, “</w:t>
      </w:r>
      <w:r w:rsidRPr="008A0F06">
        <w:t>WF on multi-level WUS configuration</w:t>
      </w:r>
      <w:r>
        <w:t xml:space="preserve">,” </w:t>
      </w:r>
      <w:r w:rsidRPr="008A0F06">
        <w:t>ZTE , Sanechips</w:t>
      </w:r>
      <w:r>
        <w:t>, RAM1#91</w:t>
      </w:r>
    </w:p>
    <w:p w14:paraId="21694B69" w14:textId="77777777" w:rsidR="00730275" w:rsidRDefault="00730275" w:rsidP="00EF2CA2"/>
    <w:p w14:paraId="5F7EC699" w14:textId="77777777" w:rsidR="00730275" w:rsidRDefault="00730275" w:rsidP="00EF2CA2"/>
    <w:sectPr w:rsidR="00730275">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4E77C7" w16cid:durableId="1E2E488D"/>
  <w16cid:commentId w16cid:paraId="7ECE4850" w16cid:durableId="1E2E478D"/>
  <w16cid:commentId w16cid:paraId="327C844C" w16cid:durableId="1E2E47F1"/>
  <w16cid:commentId w16cid:paraId="555E72F5" w16cid:durableId="1E2E4905"/>
  <w16cid:commentId w16cid:paraId="25FC94F5" w16cid:durableId="1E2E46A5"/>
  <w16cid:commentId w16cid:paraId="2F414192" w16cid:durableId="1E2E4A3D"/>
  <w16cid:commentId w16cid:paraId="74947A50" w16cid:durableId="1E2E4B96"/>
  <w16cid:commentId w16cid:paraId="0CC37309" w16cid:durableId="1E2E4C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7D8B8" w14:textId="77777777" w:rsidR="00B97096" w:rsidRDefault="00B97096">
      <w:r>
        <w:separator/>
      </w:r>
    </w:p>
  </w:endnote>
  <w:endnote w:type="continuationSeparator" w:id="0">
    <w:p w14:paraId="0165DA43" w14:textId="77777777" w:rsidR="00B97096" w:rsidRDefault="00B9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7C0E71" w14:textId="77777777" w:rsidR="00B97096" w:rsidRDefault="00B97096">
      <w:r>
        <w:separator/>
      </w:r>
    </w:p>
  </w:footnote>
  <w:footnote w:type="continuationSeparator" w:id="0">
    <w:p w14:paraId="04927E5E" w14:textId="77777777" w:rsidR="00B97096" w:rsidRDefault="00B970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7"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7"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3"/>
  </w:num>
  <w:num w:numId="2">
    <w:abstractNumId w:val="21"/>
  </w:num>
  <w:num w:numId="3">
    <w:abstractNumId w:val="14"/>
  </w:num>
  <w:num w:numId="4">
    <w:abstractNumId w:val="12"/>
  </w:num>
  <w:num w:numId="5">
    <w:abstractNumId w:val="2"/>
  </w:num>
  <w:num w:numId="6">
    <w:abstractNumId w:val="20"/>
  </w:num>
  <w:num w:numId="7">
    <w:abstractNumId w:val="19"/>
  </w:num>
  <w:num w:numId="8">
    <w:abstractNumId w:val="22"/>
  </w:num>
  <w:num w:numId="9">
    <w:abstractNumId w:val="0"/>
  </w:num>
  <w:num w:numId="10">
    <w:abstractNumId w:val="16"/>
  </w:num>
  <w:num w:numId="11">
    <w:abstractNumId w:val="7"/>
  </w:num>
  <w:num w:numId="12">
    <w:abstractNumId w:val="1"/>
  </w:num>
  <w:num w:numId="13">
    <w:abstractNumId w:val="17"/>
  </w:num>
  <w:num w:numId="14">
    <w:abstractNumId w:val="4"/>
  </w:num>
  <w:num w:numId="15">
    <w:abstractNumId w:val="18"/>
  </w:num>
  <w:num w:numId="16">
    <w:abstractNumId w:val="5"/>
  </w:num>
  <w:num w:numId="17">
    <w:abstractNumId w:val="10"/>
  </w:num>
  <w:num w:numId="18">
    <w:abstractNumId w:val="15"/>
  </w:num>
  <w:num w:numId="19">
    <w:abstractNumId w:val="9"/>
  </w:num>
  <w:num w:numId="20">
    <w:abstractNumId w:val="3"/>
  </w:num>
  <w:num w:numId="21">
    <w:abstractNumId w:val="8"/>
  </w:num>
  <w:num w:numId="22">
    <w:abstractNumId w:val="11"/>
  </w:num>
  <w:num w:numId="2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6128"/>
    <w:rsid w:val="00017700"/>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51B5A"/>
    <w:rsid w:val="00051CC9"/>
    <w:rsid w:val="00052ADE"/>
    <w:rsid w:val="00052F3F"/>
    <w:rsid w:val="000534E9"/>
    <w:rsid w:val="00053B95"/>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E72"/>
    <w:rsid w:val="000926C6"/>
    <w:rsid w:val="00092FCA"/>
    <w:rsid w:val="00093A40"/>
    <w:rsid w:val="00093ABB"/>
    <w:rsid w:val="00093DAB"/>
    <w:rsid w:val="00094037"/>
    <w:rsid w:val="00094B89"/>
    <w:rsid w:val="00095196"/>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700"/>
    <w:rsid w:val="000B3359"/>
    <w:rsid w:val="000B37A9"/>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66BB"/>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6020"/>
    <w:rsid w:val="001E6C1F"/>
    <w:rsid w:val="001E7431"/>
    <w:rsid w:val="001F0541"/>
    <w:rsid w:val="001F06F5"/>
    <w:rsid w:val="001F089A"/>
    <w:rsid w:val="001F1C57"/>
    <w:rsid w:val="001F3613"/>
    <w:rsid w:val="001F3B85"/>
    <w:rsid w:val="001F48BC"/>
    <w:rsid w:val="001F6769"/>
    <w:rsid w:val="001F7B7B"/>
    <w:rsid w:val="00200D51"/>
    <w:rsid w:val="00201AED"/>
    <w:rsid w:val="002026D6"/>
    <w:rsid w:val="00202719"/>
    <w:rsid w:val="00202952"/>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819"/>
    <w:rsid w:val="0023590D"/>
    <w:rsid w:val="00235E0F"/>
    <w:rsid w:val="002361C0"/>
    <w:rsid w:val="00236BF4"/>
    <w:rsid w:val="00237CFD"/>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759"/>
    <w:rsid w:val="00253FF9"/>
    <w:rsid w:val="0025518F"/>
    <w:rsid w:val="00255E54"/>
    <w:rsid w:val="0025724F"/>
    <w:rsid w:val="00257C0B"/>
    <w:rsid w:val="002611A6"/>
    <w:rsid w:val="002616B5"/>
    <w:rsid w:val="0026247A"/>
    <w:rsid w:val="002636F9"/>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C35"/>
    <w:rsid w:val="002A5FBC"/>
    <w:rsid w:val="002A610A"/>
    <w:rsid w:val="002A66A3"/>
    <w:rsid w:val="002A6F10"/>
    <w:rsid w:val="002A6FDD"/>
    <w:rsid w:val="002B0178"/>
    <w:rsid w:val="002B12C8"/>
    <w:rsid w:val="002B1714"/>
    <w:rsid w:val="002B1B24"/>
    <w:rsid w:val="002B2AD0"/>
    <w:rsid w:val="002B338A"/>
    <w:rsid w:val="002B4252"/>
    <w:rsid w:val="002B5486"/>
    <w:rsid w:val="002B6B85"/>
    <w:rsid w:val="002B7713"/>
    <w:rsid w:val="002B7EB9"/>
    <w:rsid w:val="002C0869"/>
    <w:rsid w:val="002C1170"/>
    <w:rsid w:val="002C1C0C"/>
    <w:rsid w:val="002C21B4"/>
    <w:rsid w:val="002C3C78"/>
    <w:rsid w:val="002C48C8"/>
    <w:rsid w:val="002C506C"/>
    <w:rsid w:val="002C74BD"/>
    <w:rsid w:val="002C776B"/>
    <w:rsid w:val="002C7A61"/>
    <w:rsid w:val="002D183C"/>
    <w:rsid w:val="002D1E4A"/>
    <w:rsid w:val="002D2A25"/>
    <w:rsid w:val="002D2C93"/>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31478"/>
    <w:rsid w:val="003317D7"/>
    <w:rsid w:val="00332A0A"/>
    <w:rsid w:val="00332C68"/>
    <w:rsid w:val="003348CF"/>
    <w:rsid w:val="00334EAC"/>
    <w:rsid w:val="003362BA"/>
    <w:rsid w:val="00340F5B"/>
    <w:rsid w:val="00341439"/>
    <w:rsid w:val="00341E06"/>
    <w:rsid w:val="00344CDB"/>
    <w:rsid w:val="00345D06"/>
    <w:rsid w:val="00346294"/>
    <w:rsid w:val="003462E7"/>
    <w:rsid w:val="00346495"/>
    <w:rsid w:val="00346573"/>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34B1"/>
    <w:rsid w:val="0036385F"/>
    <w:rsid w:val="00364998"/>
    <w:rsid w:val="0036512D"/>
    <w:rsid w:val="0036745C"/>
    <w:rsid w:val="0036795D"/>
    <w:rsid w:val="00367A49"/>
    <w:rsid w:val="00370082"/>
    <w:rsid w:val="0037087A"/>
    <w:rsid w:val="00370B27"/>
    <w:rsid w:val="00371D2E"/>
    <w:rsid w:val="00372408"/>
    <w:rsid w:val="00372B12"/>
    <w:rsid w:val="003731C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87AA1"/>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35"/>
    <w:rsid w:val="003A265E"/>
    <w:rsid w:val="003A3B43"/>
    <w:rsid w:val="003A40C2"/>
    <w:rsid w:val="003A578E"/>
    <w:rsid w:val="003A61BC"/>
    <w:rsid w:val="003A683A"/>
    <w:rsid w:val="003B017E"/>
    <w:rsid w:val="003B0559"/>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7B13"/>
    <w:rsid w:val="003F7DA7"/>
    <w:rsid w:val="004001D3"/>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CD6"/>
    <w:rsid w:val="004172F2"/>
    <w:rsid w:val="004179E1"/>
    <w:rsid w:val="004225F5"/>
    <w:rsid w:val="00422E43"/>
    <w:rsid w:val="00423E69"/>
    <w:rsid w:val="00424F03"/>
    <w:rsid w:val="004255AE"/>
    <w:rsid w:val="00426DB6"/>
    <w:rsid w:val="004314D0"/>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C0B"/>
    <w:rsid w:val="00461C6F"/>
    <w:rsid w:val="00461F29"/>
    <w:rsid w:val="00464032"/>
    <w:rsid w:val="004641E0"/>
    <w:rsid w:val="00464E7B"/>
    <w:rsid w:val="0046547A"/>
    <w:rsid w:val="00470C14"/>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38E0"/>
    <w:rsid w:val="00483B9C"/>
    <w:rsid w:val="00483F1A"/>
    <w:rsid w:val="00484679"/>
    <w:rsid w:val="004868BA"/>
    <w:rsid w:val="00487708"/>
    <w:rsid w:val="00487FD0"/>
    <w:rsid w:val="00492B7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8F9"/>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5633"/>
    <w:rsid w:val="005258A3"/>
    <w:rsid w:val="00526CF4"/>
    <w:rsid w:val="0053051C"/>
    <w:rsid w:val="00531529"/>
    <w:rsid w:val="00531EDA"/>
    <w:rsid w:val="00531FB7"/>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57F1A"/>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FD9"/>
    <w:rsid w:val="005A5600"/>
    <w:rsid w:val="005A5671"/>
    <w:rsid w:val="005A6193"/>
    <w:rsid w:val="005A635E"/>
    <w:rsid w:val="005B020A"/>
    <w:rsid w:val="005B1633"/>
    <w:rsid w:val="005B1F64"/>
    <w:rsid w:val="005B23B1"/>
    <w:rsid w:val="005B36FC"/>
    <w:rsid w:val="005B3BF9"/>
    <w:rsid w:val="005B4690"/>
    <w:rsid w:val="005B47DC"/>
    <w:rsid w:val="005B5F25"/>
    <w:rsid w:val="005B649D"/>
    <w:rsid w:val="005B64D9"/>
    <w:rsid w:val="005B6BD6"/>
    <w:rsid w:val="005B7B37"/>
    <w:rsid w:val="005C0213"/>
    <w:rsid w:val="005C0300"/>
    <w:rsid w:val="005C0E78"/>
    <w:rsid w:val="005C0F1C"/>
    <w:rsid w:val="005C1011"/>
    <w:rsid w:val="005C1599"/>
    <w:rsid w:val="005C17E7"/>
    <w:rsid w:val="005C1EBA"/>
    <w:rsid w:val="005C40B5"/>
    <w:rsid w:val="005C4312"/>
    <w:rsid w:val="005C45B0"/>
    <w:rsid w:val="005C4AE9"/>
    <w:rsid w:val="005C5AF3"/>
    <w:rsid w:val="005C6469"/>
    <w:rsid w:val="005C66F5"/>
    <w:rsid w:val="005C6B83"/>
    <w:rsid w:val="005D0AFF"/>
    <w:rsid w:val="005D0BCB"/>
    <w:rsid w:val="005D0C90"/>
    <w:rsid w:val="005D1238"/>
    <w:rsid w:val="005D33B0"/>
    <w:rsid w:val="005D3C59"/>
    <w:rsid w:val="005D3E1C"/>
    <w:rsid w:val="005D4EA4"/>
    <w:rsid w:val="005D6F96"/>
    <w:rsid w:val="005D76CC"/>
    <w:rsid w:val="005E4F17"/>
    <w:rsid w:val="005E5C5A"/>
    <w:rsid w:val="005F09AC"/>
    <w:rsid w:val="005F16E3"/>
    <w:rsid w:val="005F25C7"/>
    <w:rsid w:val="005F27D1"/>
    <w:rsid w:val="005F2CFA"/>
    <w:rsid w:val="005F3133"/>
    <w:rsid w:val="005F3ABB"/>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025"/>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6041"/>
    <w:rsid w:val="0066667B"/>
    <w:rsid w:val="00666AC3"/>
    <w:rsid w:val="00666DA0"/>
    <w:rsid w:val="00667CC4"/>
    <w:rsid w:val="00670777"/>
    <w:rsid w:val="00670999"/>
    <w:rsid w:val="00672722"/>
    <w:rsid w:val="00672882"/>
    <w:rsid w:val="00673305"/>
    <w:rsid w:val="006736E2"/>
    <w:rsid w:val="0067651B"/>
    <w:rsid w:val="00676915"/>
    <w:rsid w:val="00676B76"/>
    <w:rsid w:val="006805BE"/>
    <w:rsid w:val="006807A0"/>
    <w:rsid w:val="00680A08"/>
    <w:rsid w:val="00680CC1"/>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5AF"/>
    <w:rsid w:val="006A7198"/>
    <w:rsid w:val="006B06A8"/>
    <w:rsid w:val="006B1F58"/>
    <w:rsid w:val="006B2825"/>
    <w:rsid w:val="006B2DA0"/>
    <w:rsid w:val="006B519C"/>
    <w:rsid w:val="006B6286"/>
    <w:rsid w:val="006B6383"/>
    <w:rsid w:val="006B64D4"/>
    <w:rsid w:val="006B67ED"/>
    <w:rsid w:val="006B70BA"/>
    <w:rsid w:val="006B74A4"/>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2778"/>
    <w:rsid w:val="00732AA5"/>
    <w:rsid w:val="00733769"/>
    <w:rsid w:val="0073419C"/>
    <w:rsid w:val="007341C4"/>
    <w:rsid w:val="00734D40"/>
    <w:rsid w:val="007378E6"/>
    <w:rsid w:val="0074110A"/>
    <w:rsid w:val="00744132"/>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4DED"/>
    <w:rsid w:val="00765456"/>
    <w:rsid w:val="007675FD"/>
    <w:rsid w:val="007676DA"/>
    <w:rsid w:val="00770501"/>
    <w:rsid w:val="007714B8"/>
    <w:rsid w:val="007720FB"/>
    <w:rsid w:val="0077257F"/>
    <w:rsid w:val="00772B16"/>
    <w:rsid w:val="00774322"/>
    <w:rsid w:val="007748A4"/>
    <w:rsid w:val="00774A14"/>
    <w:rsid w:val="00774B85"/>
    <w:rsid w:val="00774D93"/>
    <w:rsid w:val="00775C57"/>
    <w:rsid w:val="00776025"/>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F5F"/>
    <w:rsid w:val="007B01CE"/>
    <w:rsid w:val="007B0D69"/>
    <w:rsid w:val="007B178B"/>
    <w:rsid w:val="007B1A06"/>
    <w:rsid w:val="007B1DF9"/>
    <w:rsid w:val="007B1EE7"/>
    <w:rsid w:val="007B33FE"/>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E3A"/>
    <w:rsid w:val="007D07B4"/>
    <w:rsid w:val="007D0CEF"/>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6D4B"/>
    <w:rsid w:val="007F15B7"/>
    <w:rsid w:val="007F1685"/>
    <w:rsid w:val="007F1835"/>
    <w:rsid w:val="007F2A4B"/>
    <w:rsid w:val="007F32ED"/>
    <w:rsid w:val="007F395A"/>
    <w:rsid w:val="007F411C"/>
    <w:rsid w:val="007F50EF"/>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35BB"/>
    <w:rsid w:val="00813765"/>
    <w:rsid w:val="00813EAF"/>
    <w:rsid w:val="008154A5"/>
    <w:rsid w:val="00816170"/>
    <w:rsid w:val="00817192"/>
    <w:rsid w:val="0081779A"/>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26FE"/>
    <w:rsid w:val="00843091"/>
    <w:rsid w:val="008430BD"/>
    <w:rsid w:val="008434CD"/>
    <w:rsid w:val="008436FA"/>
    <w:rsid w:val="00843CA0"/>
    <w:rsid w:val="00843DCB"/>
    <w:rsid w:val="00844222"/>
    <w:rsid w:val="0084477E"/>
    <w:rsid w:val="00844FA2"/>
    <w:rsid w:val="0084523D"/>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0BD7"/>
    <w:rsid w:val="00871456"/>
    <w:rsid w:val="00872491"/>
    <w:rsid w:val="00873169"/>
    <w:rsid w:val="008749AE"/>
    <w:rsid w:val="0087511C"/>
    <w:rsid w:val="00875E07"/>
    <w:rsid w:val="00875FB1"/>
    <w:rsid w:val="0087666A"/>
    <w:rsid w:val="00876BBC"/>
    <w:rsid w:val="00877255"/>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D66"/>
    <w:rsid w:val="008A3DD4"/>
    <w:rsid w:val="008A3E66"/>
    <w:rsid w:val="008A4E07"/>
    <w:rsid w:val="008A524B"/>
    <w:rsid w:val="008A5750"/>
    <w:rsid w:val="008A5D1E"/>
    <w:rsid w:val="008A5D62"/>
    <w:rsid w:val="008A695C"/>
    <w:rsid w:val="008A6A6F"/>
    <w:rsid w:val="008B0259"/>
    <w:rsid w:val="008B09B6"/>
    <w:rsid w:val="008B19E2"/>
    <w:rsid w:val="008B2BBE"/>
    <w:rsid w:val="008B2CFD"/>
    <w:rsid w:val="008B3B72"/>
    <w:rsid w:val="008B563B"/>
    <w:rsid w:val="008B6B41"/>
    <w:rsid w:val="008B6BA2"/>
    <w:rsid w:val="008B71B9"/>
    <w:rsid w:val="008B7532"/>
    <w:rsid w:val="008B76DD"/>
    <w:rsid w:val="008B7931"/>
    <w:rsid w:val="008B7CB7"/>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5459"/>
    <w:rsid w:val="008D5610"/>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5056"/>
    <w:rsid w:val="00925E68"/>
    <w:rsid w:val="00925F38"/>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5DDE"/>
    <w:rsid w:val="009B5FD5"/>
    <w:rsid w:val="009B6EB6"/>
    <w:rsid w:val="009B75DD"/>
    <w:rsid w:val="009B77BC"/>
    <w:rsid w:val="009C2569"/>
    <w:rsid w:val="009C2EE1"/>
    <w:rsid w:val="009C30E6"/>
    <w:rsid w:val="009C329E"/>
    <w:rsid w:val="009C367C"/>
    <w:rsid w:val="009C485B"/>
    <w:rsid w:val="009C496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85"/>
    <w:rsid w:val="00A04334"/>
    <w:rsid w:val="00A04540"/>
    <w:rsid w:val="00A0473B"/>
    <w:rsid w:val="00A05426"/>
    <w:rsid w:val="00A05998"/>
    <w:rsid w:val="00A065AF"/>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60A"/>
    <w:rsid w:val="00AB7CE2"/>
    <w:rsid w:val="00AC0F5C"/>
    <w:rsid w:val="00AC1AEF"/>
    <w:rsid w:val="00AC2D06"/>
    <w:rsid w:val="00AC3C0A"/>
    <w:rsid w:val="00AC40B7"/>
    <w:rsid w:val="00AC58EE"/>
    <w:rsid w:val="00AC740F"/>
    <w:rsid w:val="00AD09D6"/>
    <w:rsid w:val="00AD1D49"/>
    <w:rsid w:val="00AD1DB5"/>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6B56"/>
    <w:rsid w:val="00AF6C62"/>
    <w:rsid w:val="00AF7A58"/>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7504"/>
    <w:rsid w:val="00B404C8"/>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096"/>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616"/>
    <w:rsid w:val="00BA5AC7"/>
    <w:rsid w:val="00BA7584"/>
    <w:rsid w:val="00BA76A2"/>
    <w:rsid w:val="00BA7CF8"/>
    <w:rsid w:val="00BB153F"/>
    <w:rsid w:val="00BB1ECC"/>
    <w:rsid w:val="00BB2B80"/>
    <w:rsid w:val="00BB315F"/>
    <w:rsid w:val="00BB31D8"/>
    <w:rsid w:val="00BB4398"/>
    <w:rsid w:val="00BB44EB"/>
    <w:rsid w:val="00BB5E28"/>
    <w:rsid w:val="00BB6934"/>
    <w:rsid w:val="00BB7541"/>
    <w:rsid w:val="00BB7DF4"/>
    <w:rsid w:val="00BC0D77"/>
    <w:rsid w:val="00BC1245"/>
    <w:rsid w:val="00BC216A"/>
    <w:rsid w:val="00BC405B"/>
    <w:rsid w:val="00BC4315"/>
    <w:rsid w:val="00BC4449"/>
    <w:rsid w:val="00BC44B2"/>
    <w:rsid w:val="00BC4D39"/>
    <w:rsid w:val="00BC52B5"/>
    <w:rsid w:val="00BC52E5"/>
    <w:rsid w:val="00BD2054"/>
    <w:rsid w:val="00BD4498"/>
    <w:rsid w:val="00BD456D"/>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655"/>
    <w:rsid w:val="00C07763"/>
    <w:rsid w:val="00C105FC"/>
    <w:rsid w:val="00C1103D"/>
    <w:rsid w:val="00C11236"/>
    <w:rsid w:val="00C1178F"/>
    <w:rsid w:val="00C12186"/>
    <w:rsid w:val="00C12C95"/>
    <w:rsid w:val="00C13159"/>
    <w:rsid w:val="00C14A70"/>
    <w:rsid w:val="00C14F60"/>
    <w:rsid w:val="00C154E0"/>
    <w:rsid w:val="00C1559D"/>
    <w:rsid w:val="00C15683"/>
    <w:rsid w:val="00C158F9"/>
    <w:rsid w:val="00C15914"/>
    <w:rsid w:val="00C16321"/>
    <w:rsid w:val="00C16FB9"/>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2AE7"/>
    <w:rsid w:val="00C83889"/>
    <w:rsid w:val="00C85997"/>
    <w:rsid w:val="00C85D3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785"/>
    <w:rsid w:val="00CE791A"/>
    <w:rsid w:val="00CE7C6F"/>
    <w:rsid w:val="00CF0699"/>
    <w:rsid w:val="00CF0ED0"/>
    <w:rsid w:val="00CF2467"/>
    <w:rsid w:val="00CF2518"/>
    <w:rsid w:val="00CF3F29"/>
    <w:rsid w:val="00CF3F55"/>
    <w:rsid w:val="00CF5D14"/>
    <w:rsid w:val="00CF65C9"/>
    <w:rsid w:val="00CF7C53"/>
    <w:rsid w:val="00CF7E94"/>
    <w:rsid w:val="00D004C7"/>
    <w:rsid w:val="00D01255"/>
    <w:rsid w:val="00D024BB"/>
    <w:rsid w:val="00D02C60"/>
    <w:rsid w:val="00D0315A"/>
    <w:rsid w:val="00D04315"/>
    <w:rsid w:val="00D04985"/>
    <w:rsid w:val="00D04DC8"/>
    <w:rsid w:val="00D04FC9"/>
    <w:rsid w:val="00D05669"/>
    <w:rsid w:val="00D06935"/>
    <w:rsid w:val="00D07308"/>
    <w:rsid w:val="00D077DC"/>
    <w:rsid w:val="00D07CEA"/>
    <w:rsid w:val="00D07D78"/>
    <w:rsid w:val="00D12044"/>
    <w:rsid w:val="00D12A46"/>
    <w:rsid w:val="00D12A78"/>
    <w:rsid w:val="00D13915"/>
    <w:rsid w:val="00D13E62"/>
    <w:rsid w:val="00D13FE1"/>
    <w:rsid w:val="00D141B0"/>
    <w:rsid w:val="00D14FF0"/>
    <w:rsid w:val="00D15FA3"/>
    <w:rsid w:val="00D16382"/>
    <w:rsid w:val="00D16431"/>
    <w:rsid w:val="00D1651D"/>
    <w:rsid w:val="00D175BD"/>
    <w:rsid w:val="00D17767"/>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61EE"/>
    <w:rsid w:val="00D4674E"/>
    <w:rsid w:val="00D4699A"/>
    <w:rsid w:val="00D50048"/>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57B6A"/>
    <w:rsid w:val="00D60D7B"/>
    <w:rsid w:val="00D61016"/>
    <w:rsid w:val="00D61401"/>
    <w:rsid w:val="00D620CF"/>
    <w:rsid w:val="00D63667"/>
    <w:rsid w:val="00D6375C"/>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926"/>
    <w:rsid w:val="00DB29E6"/>
    <w:rsid w:val="00DB2AD0"/>
    <w:rsid w:val="00DB2D40"/>
    <w:rsid w:val="00DB3196"/>
    <w:rsid w:val="00DB401B"/>
    <w:rsid w:val="00DB42CB"/>
    <w:rsid w:val="00DB5CB9"/>
    <w:rsid w:val="00DB6162"/>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6F1"/>
    <w:rsid w:val="00DD2AC5"/>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0DF7"/>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DC2"/>
    <w:rsid w:val="00E85E4F"/>
    <w:rsid w:val="00E861FB"/>
    <w:rsid w:val="00E8623D"/>
    <w:rsid w:val="00E87D37"/>
    <w:rsid w:val="00E90724"/>
    <w:rsid w:val="00E90839"/>
    <w:rsid w:val="00E922B2"/>
    <w:rsid w:val="00E9249F"/>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58B"/>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0F8"/>
    <w:rsid w:val="00EF048F"/>
    <w:rsid w:val="00EF15E6"/>
    <w:rsid w:val="00EF1D85"/>
    <w:rsid w:val="00EF1EF3"/>
    <w:rsid w:val="00EF200C"/>
    <w:rsid w:val="00EF2134"/>
    <w:rsid w:val="00EF2C02"/>
    <w:rsid w:val="00EF2C5D"/>
    <w:rsid w:val="00EF2CA2"/>
    <w:rsid w:val="00EF2D83"/>
    <w:rsid w:val="00EF304F"/>
    <w:rsid w:val="00EF3154"/>
    <w:rsid w:val="00EF4A7D"/>
    <w:rsid w:val="00EF5CBA"/>
    <w:rsid w:val="00EF7889"/>
    <w:rsid w:val="00EF7C84"/>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4F7"/>
    <w:rsid w:val="00F14D62"/>
    <w:rsid w:val="00F16732"/>
    <w:rsid w:val="00F17679"/>
    <w:rsid w:val="00F17D88"/>
    <w:rsid w:val="00F20518"/>
    <w:rsid w:val="00F20A04"/>
    <w:rsid w:val="00F2183D"/>
    <w:rsid w:val="00F21E42"/>
    <w:rsid w:val="00F22702"/>
    <w:rsid w:val="00F2279A"/>
    <w:rsid w:val="00F22C8B"/>
    <w:rsid w:val="00F24883"/>
    <w:rsid w:val="00F25026"/>
    <w:rsid w:val="00F269CA"/>
    <w:rsid w:val="00F26D70"/>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55B8"/>
    <w:rsid w:val="00F45938"/>
    <w:rsid w:val="00F45CE5"/>
    <w:rsid w:val="00F45D0A"/>
    <w:rsid w:val="00F461D7"/>
    <w:rsid w:val="00F46E85"/>
    <w:rsid w:val="00F4742C"/>
    <w:rsid w:val="00F50692"/>
    <w:rsid w:val="00F5114B"/>
    <w:rsid w:val="00F51CDF"/>
    <w:rsid w:val="00F51CFD"/>
    <w:rsid w:val="00F52493"/>
    <w:rsid w:val="00F53A02"/>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4DC"/>
    <w:rsid w:val="00F976E4"/>
    <w:rsid w:val="00F978F8"/>
    <w:rsid w:val="00FA0637"/>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10ED"/>
    <w:rsid w:val="00FB249A"/>
    <w:rsid w:val="00FB2545"/>
    <w:rsid w:val="00FB2BF2"/>
    <w:rsid w:val="00FB3EDF"/>
    <w:rsid w:val="00FB41AB"/>
    <w:rsid w:val="00FB4961"/>
    <w:rsid w:val="00FB49E2"/>
    <w:rsid w:val="00FB5902"/>
    <w:rsid w:val="00FB65B9"/>
    <w:rsid w:val="00FB6732"/>
    <w:rsid w:val="00FB6E34"/>
    <w:rsid w:val="00FB7782"/>
    <w:rsid w:val="00FC1C05"/>
    <w:rsid w:val="00FC3C3D"/>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E0CFA"/>
    <w:rsid w:val="00FE17D4"/>
    <w:rsid w:val="00FE21DE"/>
    <w:rsid w:val="00FE23FB"/>
    <w:rsid w:val="00FE2619"/>
    <w:rsid w:val="00FE27C5"/>
    <w:rsid w:val="00FE2B22"/>
    <w:rsid w:val="00FE30F6"/>
    <w:rsid w:val="00FE3A0C"/>
    <w:rsid w:val="00FE45D7"/>
    <w:rsid w:val="00FE4D1E"/>
    <w:rsid w:val="00FE52CD"/>
    <w:rsid w:val="00FE52D5"/>
    <w:rsid w:val="00FE59F4"/>
    <w:rsid w:val="00FE6E20"/>
    <w:rsid w:val="00FE763E"/>
    <w:rsid w:val="00FF28BC"/>
    <w:rsid w:val="00FF2964"/>
    <w:rsid w:val="00FF3DB7"/>
    <w:rsid w:val="00FF44DD"/>
    <w:rsid w:val="00FF486B"/>
    <w:rsid w:val="00FF4A1A"/>
    <w:rsid w:val="00FF5421"/>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14B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7714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14B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basedOn w:val="Normal"/>
    <w:link w:val="ListParagraphChar"/>
    <w:uiPriority w:val="34"/>
    <w:qFormat/>
    <w:rsid w:val="007F740E"/>
    <w:pPr>
      <w:ind w:left="720"/>
      <w:contextualSpacing/>
    </w:pPr>
  </w:style>
  <w:style w:type="character" w:customStyle="1" w:styleId="ListParagraphChar">
    <w:name w:val="List Paragraph Char"/>
    <w:link w:val="ListParagraph"/>
    <w:uiPriority w:val="34"/>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F82F5-EF92-46BD-97EA-70A9CAA59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2018-02-14T04:28:00Z</dcterms:created>
  <dcterms:modified xsi:type="dcterms:W3CDTF">2018-02-16T15:14:00Z</dcterms:modified>
</cp:coreProperties>
</file>